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黑水县农业农村水利和科技局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numPr>
          <w:ilvl w:val="0"/>
          <w:numId w:val="0"/>
        </w:numPr>
        <w:spacing w:line="580" w:lineRule="exact"/>
        <w:ind w:firstLine="640" w:firstLineChars="200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下属二级预算单位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bookmarkStart w:id="1" w:name="_Toc15377433"/>
      <w:bookmarkStart w:id="2" w:name="_Toc15306276"/>
      <w:bookmarkStart w:id="3" w:name="_Toc15378449"/>
      <w:bookmarkStart w:id="4" w:name="_Toc15377202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黑水县农业农村水利和科技局（本级</w:t>
      </w:r>
      <w:r>
        <w:rPr>
          <w:rFonts w:hint="eastAsia" w:hAnsi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）</w:t>
      </w:r>
      <w:bookmarkEnd w:id="1"/>
      <w:bookmarkEnd w:id="2"/>
      <w:bookmarkEnd w:id="3"/>
      <w:bookmarkEnd w:id="4"/>
      <w:bookmarkStart w:id="5" w:name="_Toc15377203"/>
      <w:bookmarkStart w:id="6" w:name="_Toc15377434"/>
      <w:bookmarkStart w:id="7" w:name="_Toc15306277"/>
      <w:bookmarkStart w:id="8" w:name="_Toc1537845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内设行政机构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个：畜牧兽医服务中心、农业执法中队、农村能源服务中心、农村经营管理站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、扶贫移民工作管理中心。黑水县农业农村水利和科技局畜牧服务兽医中心</w:t>
      </w:r>
      <w:bookmarkEnd w:id="5"/>
      <w:bookmarkEnd w:id="6"/>
      <w:bookmarkEnd w:id="7"/>
      <w:bookmarkEnd w:id="8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内设事业机构1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个：科学技术服务中心、经济作物管理站、科教站、良种示范繁殖场、植保植检站、农业技术推广站、土肥站、种子站、农产品检验检测站、畜牧工作站、动物疫病预防控制中心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、水务服务中心、乡村振兴服务中心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（二）机构职能。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1.贯彻执行国家有关种植业、畜牧业、农业机械化、农垦、水务等农业领域（以下简称农业）工作方针、政策和法律、法规。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2.拟定全县农牧、水务和农村经济发展规划组织实施,推进农牧业依法行政。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3.参与制定全县农业中、长期发展规划和年度计划，引导农业产业结构合理调整，农业资源合理配置和农产品品质改善。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4.负责农业（含种植业、畜牧业、水利）科学技术的普及推广、先进适用技术的示范和推广、监督管理和行政执法等工作。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5.负责实施农业（含种植业、畜牧业、水利）相关项目的实施工作。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（三）人员概况。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年末，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黑水县农业农村水利和科技局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核定编制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139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个（公务员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，参公4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，事业7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，行政工勤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），在编1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人（公务员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人；参公3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，空编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人，事业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人，超编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人，行政工勤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人）。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部门财政资金总收入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14069.44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其中财政拨款收入13545万元；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政府性基金预算财政拨款收入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193.62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其他收入330.82万元。</w:t>
      </w:r>
      <w:r>
        <w:rPr>
          <w:rFonts w:hint="eastAsia" w:ascii="仿宋_GB2312" w:hAnsi="仿宋" w:eastAsia="仿宋_GB2312" w:cs="仿宋_GB2312"/>
          <w:sz w:val="32"/>
          <w:szCs w:val="32"/>
        </w:rPr>
        <w:t>具体为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住房公积金：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276.58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科学技术：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357.38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社会保障和就业：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502.4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万元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卫生健康：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233.92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农林水：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12699.16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部门财政资金总支出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13545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其中基本支出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3899.5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万元；项目收入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9645.5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万元。具体为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住房公积金：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276.58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科学技术：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357.38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社会保障和就业：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502.4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万元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卫生健康：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233.92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农林水：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12174.72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万元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ind w:firstLine="6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我单位严格按照县级部门预算编制通知和有关要求，按时完成基础信息、项目资料立项及预算编制等工作，并按时提交部门预算草案，不存在预算编制错误情况。县财政局根据预算编制草案，进行审核，我局20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年预算收入为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3642.83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ind w:firstLine="6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是规章制度建立健全，制度执行严格合规，会计核算符合相关规定。二是严格按照有关规定，加强对财政各项资金的监督管理，确保资金及时、足额到位，专款专用，资金支付依据和开支标准合法合规，未出现截留和挤占挪作他用现象。三是按规定对财政拨付的专项资金进行自检自查，做好资金的项目和资金使用效益管理工作，充分发挥各项资金的使用效益，财政各项专项工作按时高质量完成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资金使用严格执行《阿坝州州级财政专项资金绩效分配管理暂行办法》。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专项性办公经费和培训经费等做到专款专用，使之发挥最大的经济效益和社会效益。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专项办公经费能够保证相关工作的更好推进，已达到最好的经济效益和社会效益。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结合项目自身特点，评价重点及管理办法等要求，根据项目决策、项目管理、项目绩效三个方面对项目进行总体评价得分：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96.5</w:t>
      </w:r>
      <w:r>
        <w:rPr>
          <w:rFonts w:hint="eastAsia" w:ascii="仿宋_GB2312" w:hAnsi="仿宋" w:eastAsia="仿宋_GB2312" w:cs="仿宋_GB2312"/>
          <w:sz w:val="32"/>
          <w:szCs w:val="32"/>
        </w:rPr>
        <w:t>分，综合评价结果为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优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经自评，我单位财政资金支出绩效评价得分为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96分。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我局经财政资金的足额拨付，使得各项工作顺利进行，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" w:eastAsia="仿宋_GB2312" w:cs="仿宋_GB2312"/>
          <w:sz w:val="32"/>
          <w:szCs w:val="32"/>
        </w:rPr>
        <w:t>体现在：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今年以来，在县委、县政府的正确领导下，我局认真贯彻落实中央一号文件精神，贯彻落实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中央、省、州和县委县政府“三农”工作安排部署，巩固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拓展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脱贫攻坚成果与乡村振兴有效衔接，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统筹农村地区疫情防控和经济发展，为我县农业增产、农民增收、农村稳定打好基础。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截至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2024年底，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我局实施项目共计64个，预投资金36983.10362万元，其中农业24个、畜牧14个、科技6个、水利20个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到位资金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36983.10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万元，其中乡村振兴衔接资金2940.52万元，完工率达100%，衔接资金拨付率达100%。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培育壮大新型经营主体。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今年完成3家农民合作社建设项目，改变了传统种植生产方式及传统养殖生产方式，带动牧民发展养殖业，解决了部分群众就业增收。加快培育高素质农民，投资73.26万元，培育100名黑水县高素质农民，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遴选3名在技术推广、市场发展、产业融合、增收 致富等方面起到明显示范带动作用的农村致富带头人，都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kern w:val="32"/>
          <w:sz w:val="32"/>
          <w:szCs w:val="32"/>
          <w:lang w:val="en-US" w:eastAsia="zh-CN"/>
        </w:rPr>
        <w:t>完成项目验收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政策落实与惠民服务。落实农机购置补贴和报废补贴共计25.1038万元，惠及农户4户；发放耕地地力补贴面积93462.97亩，发放补贴标准60.89元/亩，受益农户增收60.89元/亩；</w:t>
      </w:r>
      <w:bookmarkStart w:id="9" w:name="OLE_LINK6"/>
      <w:bookmarkStart w:id="10" w:name="OLE_LINK4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发放</w:t>
      </w:r>
      <w:bookmarkStart w:id="11" w:name="OLE_LINK5"/>
      <w:bookmarkStart w:id="12" w:name="OLE_LINK1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种粮大户补贴</w:t>
      </w:r>
      <w:bookmarkEnd w:id="11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面积</w:t>
      </w:r>
      <w:bookmarkEnd w:id="12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2036.28亩</w:t>
      </w:r>
      <w:bookmarkEnd w:id="9"/>
      <w:bookmarkEnd w:id="10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，发放补贴标准150元/亩，受益农户增收150元/亩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农村人居环境整治。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推动农村厕所建设标准化、管理规范化、监督社会化，完善公共服务功能，改善农村人居环境和建设美丽乡村，切实增强农民群众的获得感和幸福感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年我县农村“厕所革命”整村推进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289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户厕改目标任务，全县累计完成户厕改造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481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落实安全生产“一岗双责”。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一是保障农资市场安全。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农业执法中队共出动执法人员200余人次，检查、宣传包含我县15个乡镇各类小卖部、超市及农资销售店，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共计发放宣传资料1800余份，办理农产品质量安全案件3件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 二是加大渔政执法力度。持续开展“十年禁渔”工作，将渔业安全生产监管作为长江流域禁渔监管工作的重点常抓不懈 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共计出动执法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179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人次，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出动执法车辆40辆次，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张贴通告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100余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发放宣传资料1100余份，联合执法11次，无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重大典型案例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办理渔政案件2件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重大典型案例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。三是狠抓农机安全监管。督促各拖拉机驾驶员加强车辆年检，组织拖拉机驾照考试一次，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共开展执法检查20次，发放安全资料1000余册，在秋季农机作业高峰会同交警部门开展联合执法1次，全年共排查并整改农机安全隐患16个。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四是开展农产品定量检测。对</w:t>
      </w:r>
      <w:r>
        <w:rPr>
          <w:rFonts w:hint="eastAsia" w:ascii="仿宋_GB2312" w:hAnsi="仿宋_GB2312" w:eastAsia="仿宋_GB2312" w:cs="仿宋_GB2312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全县15个乡镇农产品定量检测，检测结果全部合格，为我县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特色优势产业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色湾藏香猪、</w:t>
      </w:r>
      <w:r>
        <w:rPr>
          <w:rFonts w:hint="eastAsia" w:cs="仿宋_GB2312"/>
          <w:color w:val="auto"/>
          <w:spacing w:val="0"/>
          <w:sz w:val="32"/>
          <w:szCs w:val="32"/>
          <w:lang w:val="en-US" w:eastAsia="zh-CN"/>
        </w:rPr>
        <w:t>黑水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核桃、黑水凤尾鸡、黑水中蜂等发展提供了良好环境，已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完成农产品定量检测136批次，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开展抽样及检测工作任务136个，已全部完成，检测结果全部合格，全年无重大农产品安全事件发生。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推广技术和服务。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一是建设科技特派团。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技特派团1个、人数18人，服务领域要涵盖县域优势特色农业产业，服务目标要满足县域农业发展科技需求。科技特派员通过“一对一”“一对多”的方式，实现对县域优势特色农业产业全覆盖。开展技术服务5次以上，组织技术培训3次以上，培训农户50人次，指导建成科技示范基地2个。</w:t>
      </w:r>
      <w:r>
        <w:rPr>
          <w:rFonts w:hint="eastAsia" w:ascii="仿宋_GB2312" w:hAnsi="宋体" w:eastAsia="仿宋_GB2312"/>
          <w:b w:val="0"/>
          <w:bCs w:val="0"/>
          <w:color w:val="auto"/>
          <w:sz w:val="32"/>
          <w:szCs w:val="32"/>
          <w:lang w:val="en-US" w:eastAsia="zh-CN"/>
        </w:rPr>
        <w:t>开展各类科普培训5次；科普培训县域中药材、中蜂种养殖企业、合作社、种植大户200余人次，科普培训学生100余人次；接待省州县考察团队6次以上；建设科普馆150平米以上，建设科普基地2个。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二是用好“四川科技扶贫在线”平台。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农业技术专家“线上线下”科技服务，为我县产业发展提供科技支撑。1.平台建设。按照“六有”（有机构、有职能、有人员、有场地、有条件、有经费）标准保障县平台健康运行。2.平台管理。做好“专家、信息员、平台分诊员”三支队伍建设，入库黑水县“四川科技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兴村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线”平台建设与运行维护（平台建设类）专家100人、信息员208人；优化完善相关工作制度，保障对在线需求做到100%响应。3.平台服务。开展“线上线下”服务，其中，2024年指导开展在线服务800次。4.组织平台宣传推介活动1次，发布技术供给管理、供销对接管理30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应急与防汛建设。2024年7月我县新排查出26处山洪灾害危险区隐患点，按照要求设置了26名监测巡查责任人，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确保我县214个山洪灾害危险区有监测巡查人员，预警转移及时，确保汛期人民群众生命财产安全。为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提升监测能力，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3个补充新建自动雨量站、4个雨水情监测站点提升、增设2个卫星通信信道；其次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对小流域山洪灾害“四预”能力进行建设，完成风险隐患分析和沟道断</w:t>
      </w:r>
      <w:bookmarkStart w:id="14" w:name="_GoBack"/>
      <w:bookmarkEnd w:id="14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面补充测量3个、新增防治对象调查评价3个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群测群防体系建设，对县、乡、村三级预案进行修订、完成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1场演练和1场培训。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一是预算编制准确度有待提高，存在中期追加、期末追减情况；二是固定资产卡片有未及时更新情况，管理有待完善；三是1-6月中期预算执行进度有待提高；四是政府采购执行进度支付比率有待提高。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</w:pPr>
      <w:bookmarkStart w:id="13" w:name="_Hlk110546638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一是分析上一年度预算编制报告及预算执行情况，提高预算编制准确度。二是加强固定资产管理、完善固定资产管理制度。三是提早实施项目前期工作，提早谋划从而提高政府采购预算执行进度。</w:t>
      </w:r>
      <w:bookmarkEnd w:id="13"/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1A339F"/>
    <w:multiLevelType w:val="singleLevel"/>
    <w:tmpl w:val="851A33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5293918"/>
    <w:multiLevelType w:val="singleLevel"/>
    <w:tmpl w:val="8529391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396527E"/>
    <w:rsid w:val="0B5F0837"/>
    <w:rsid w:val="0D146657"/>
    <w:rsid w:val="0D1A4AF9"/>
    <w:rsid w:val="0E0B31C6"/>
    <w:rsid w:val="11293B8D"/>
    <w:rsid w:val="1C982D6D"/>
    <w:rsid w:val="21DF62DE"/>
    <w:rsid w:val="284B3C64"/>
    <w:rsid w:val="2DB345D3"/>
    <w:rsid w:val="31B34795"/>
    <w:rsid w:val="33D74C2D"/>
    <w:rsid w:val="34EB1F43"/>
    <w:rsid w:val="350917C0"/>
    <w:rsid w:val="36435EC2"/>
    <w:rsid w:val="43EB7E23"/>
    <w:rsid w:val="4A472DA2"/>
    <w:rsid w:val="4D0A5784"/>
    <w:rsid w:val="4DD97D2F"/>
    <w:rsid w:val="529854CB"/>
    <w:rsid w:val="5411008F"/>
    <w:rsid w:val="546662AC"/>
    <w:rsid w:val="5A256795"/>
    <w:rsid w:val="5E9E6091"/>
    <w:rsid w:val="60D032A5"/>
    <w:rsid w:val="611E3BFF"/>
    <w:rsid w:val="67143F58"/>
    <w:rsid w:val="68F110A6"/>
    <w:rsid w:val="69E14219"/>
    <w:rsid w:val="6A9602E0"/>
    <w:rsid w:val="736121F1"/>
    <w:rsid w:val="79DD1DEF"/>
    <w:rsid w:val="7E5F4599"/>
    <w:rsid w:val="7F583989"/>
    <w:rsid w:val="7FEDB269"/>
    <w:rsid w:val="BEE7389F"/>
    <w:rsid w:val="BFFFD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0</TotalTime>
  <ScaleCrop>false</ScaleCrop>
  <LinksUpToDate>false</LinksUpToDate>
  <CharactersWithSpaces>337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2025-11-10T16:32:39Z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3115989309D741DA945EE44A488D69E1</vt:lpwstr>
  </property>
</Properties>
</file>