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24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黑水县“四川科技兴村在线”平台建设与运行维护（平台建设类）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1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</w:rPr>
        <w:t>深入贯彻落实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上级部门</w:t>
      </w:r>
      <w:r>
        <w:rPr>
          <w:rFonts w:ascii="Times New Roman" w:hAnsi="Times New Roman" w:eastAsia="仿宋_GB2312"/>
          <w:sz w:val="32"/>
          <w:szCs w:val="32"/>
        </w:rPr>
        <w:t>关于全面实施预算绩效管理的</w:t>
      </w:r>
      <w:bookmarkStart w:id="0" w:name="_GoBack"/>
      <w:r>
        <w:rPr>
          <w:rFonts w:ascii="Times New Roman" w:hAnsi="Times New Roman" w:eastAsia="仿宋_GB2312"/>
          <w:sz w:val="32"/>
          <w:szCs w:val="32"/>
        </w:rPr>
        <w:t>决策部署，</w:t>
      </w:r>
      <w:r>
        <w:rPr>
          <w:rFonts w:hint="eastAsia" w:ascii="Times New Roman" w:hAnsi="Times New Roman" w:eastAsia="仿宋_GB2312"/>
          <w:sz w:val="32"/>
          <w:szCs w:val="32"/>
        </w:rPr>
        <w:t>进一步</w:t>
      </w:r>
      <w:r>
        <w:rPr>
          <w:rFonts w:ascii="Times New Roman" w:hAnsi="Times New Roman" w:eastAsia="仿宋_GB2312"/>
          <w:sz w:val="32"/>
          <w:szCs w:val="32"/>
        </w:rPr>
        <w:t>强化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各项目承担单位</w:t>
      </w:r>
      <w:r>
        <w:rPr>
          <w:rFonts w:ascii="Times New Roman" w:hAnsi="Times New Roman" w:eastAsia="仿宋_GB2312"/>
          <w:sz w:val="32"/>
          <w:szCs w:val="32"/>
        </w:rPr>
        <w:t>预算绩效管理主体责</w:t>
      </w:r>
      <w:bookmarkEnd w:id="0"/>
      <w:r>
        <w:rPr>
          <w:rFonts w:ascii="Times New Roman" w:hAnsi="Times New Roman" w:eastAsia="仿宋_GB2312"/>
          <w:sz w:val="32"/>
          <w:szCs w:val="32"/>
        </w:rPr>
        <w:t>任和绩效理念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2" w:firstLineChars="200"/>
        <w:textAlignment w:val="auto"/>
        <w:outlineLvl w:val="9"/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（二）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预设问题及评价重点。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对照绩效评价指标体系，资金支出严格按照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等管理制度实施项目，体系健全完善，重点对项目管理、项目实施进行评价。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ind w:left="0" w:leftChars="0" w:firstLine="642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本项目由黑水县科学技术服务中心申报，实施地点位于黑水县，评价覆盖1个项目，涉及资金38.0625万元。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40" w:lineRule="exact"/>
        <w:ind w:firstLine="642" w:firstLineChars="200"/>
        <w:textAlignment w:val="auto"/>
        <w:outlineLvl w:val="9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四</w:t>
      </w: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）评价方法。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zh-CN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zh-CN" w:eastAsia="zh-CN"/>
        </w:rPr>
        <w:t>根据项目情况和评价重点，我单位采用是单位自评法进行自评，通过翻阅相关凭证和政策落实文件进行核实。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640"/>
        <w:textAlignment w:val="auto"/>
        <w:outlineLvl w:val="9"/>
        <w:rPr>
          <w:rFonts w:hint="eastAsia" w:ascii="Times New Roman" w:hAnsi="Times New Roman" w:eastAsia="仿宋_GB2312" w:cs="Times New Roman"/>
          <w:bCs/>
          <w:sz w:val="32"/>
          <w:szCs w:val="32"/>
          <w:lang w:eastAsia="zh-CN"/>
        </w:rPr>
      </w:pPr>
      <w:r>
        <w:rPr>
          <w:rFonts w:hint="eastAsia" w:ascii="楷体_GB2312" w:hAnsi="宋体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建立评价组，由黑水县科学技术服务中心副主任杨帆担任组长，科技股工作人员冉毅为副组长，段久富、杨富康为组员，对照绩效指标，对所有科技项目进行综合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评价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  长：杨  帆  科技服务中心副主任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副组长：冉  毅  科技股股长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组  员：段久富  科技股工作人员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default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杨富康  科技股工作人员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平台管理。做好“专家、信息员、平台分诊员”三支队伍建设，优化完善相关工作制度，保障对在线需求做到100%响应。2.平台服务。开展“线上线下”服务，2023年指导开展信息员有效咨询服务不少于800条，专家有效咨询服务不少于800条。完成有效咨询条数后补助38.0625万元。</w:t>
      </w:r>
    </w:p>
    <w:tbl>
      <w:tblPr>
        <w:tblStyle w:val="6"/>
        <w:tblW w:w="92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24"/>
        <w:gridCol w:w="1221"/>
        <w:gridCol w:w="1063"/>
        <w:gridCol w:w="1352"/>
        <w:gridCol w:w="408"/>
        <w:gridCol w:w="995"/>
        <w:gridCol w:w="954"/>
        <w:gridCol w:w="683"/>
        <w:gridCol w:w="313"/>
        <w:gridCol w:w="302"/>
        <w:gridCol w:w="15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57" w:hRule="atLeast"/>
        </w:trPr>
        <w:tc>
          <w:tcPr>
            <w:tcW w:w="92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部门预算项目支出绩效自评表（2024年度）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1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51322825T000012983867-黑水县“四川科技兴村在线”平台建设与运行维护（平台建设类）项目-平台运行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6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黑水县农业农村水利和科技局</w:t>
            </w:r>
          </w:p>
        </w:tc>
        <w:tc>
          <w:tcPr>
            <w:tcW w:w="68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1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黑水县畜牧兽医服务中心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2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2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4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7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通过农业技术专家“线上线下”科技服务，为我县产业发展提供科技支撑。1.平台建设。按照“六有”（有机构、有职能、有人员、有场地、有条件、有经费）标准保障县平台健康运行。 2.平台管理。做好“专家、信息员、平台分诊员”三支队伍建设，入库黑水县“四川科技兴村在线”平台建设与运行维护（平台建设类）专家100人、信息员208人；优化完善相关工作制度，保障对在线需求做到100%响应。3.平台服务。开展“线上线下”服务，其中，2024年指导开展在线服务800次。</w:t>
            </w:r>
          </w:p>
        </w:tc>
        <w:tc>
          <w:tcPr>
            <w:tcW w:w="286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目标完成年度目标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3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76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目标完成年度目标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7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3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7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4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5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开展在线有效咨询服务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入库信息员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入库专家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发布技术供给、产业信息、供销对接信息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9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8" w:hRule="atLeast"/>
        </w:trPr>
        <w:tc>
          <w:tcPr>
            <w:tcW w:w="710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3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评价结论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入库黑水县“四川科技科技在线”平台建设与运行维护（平台建设类）专家213人、信息员580人、配备平台分诊员2人；2024年开展在线服务2362次，组织平台宣传推介活动1次，发布技术供给、产业信息、供销对接信息38条，服务对象满意度95%。已全部按照年度任务指标超额完成任务目标，实施结果与绩效目标相匹配项目符合预期目标，得95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存在问题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</w:trPr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改进措施</w:t>
            </w:r>
          </w:p>
        </w:tc>
        <w:tc>
          <w:tcPr>
            <w:tcW w:w="885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8" w:hRule="atLeast"/>
        </w:trPr>
        <w:tc>
          <w:tcPr>
            <w:tcW w:w="44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项目负责人：冉毅</w:t>
            </w:r>
          </w:p>
        </w:tc>
        <w:tc>
          <w:tcPr>
            <w:tcW w:w="481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财务负责人：罗晓平</w:t>
            </w:r>
          </w:p>
        </w:tc>
      </w:tr>
    </w:tbl>
    <w:p>
      <w:pPr>
        <w:spacing w:line="580" w:lineRule="exact"/>
        <w:ind w:firstLine="640" w:firstLineChars="200"/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一是决策程序：根据县委县政府的工作部署安排和实际需要进行项目决策，决策程序严密，经集体研究和按照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资金文件用途严格落实；二是规划论证符合上级资金文件用途，项目目标设置清晰，科学合理；三是资金投向符合项目总体规划和方案。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一是制度办法。在项目申报、实施过程中，严格按照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《四川省衔接推进乡村振兴科技项目管理细则》、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《四川省省级财政科技计划后补助管理办法》（川财规〔2021〕10号）及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资金文件用途严格落实，体系健全完善，不存在管理制度缺失、管理办法过期情况；二是分配，管理有序，拨付时间节点稳定，按照州级文件要求合理分配，服务对象满意度高；三是绩效监管严格。项目严格按照</w:t>
      </w:r>
      <w:r>
        <w:rPr>
          <w:rFonts w:hint="eastAsia" w:eastAsia="仿宋_GB2312" w:cs="Times New Roman"/>
          <w:color w:val="auto"/>
          <w:sz w:val="32"/>
          <w:szCs w:val="32"/>
          <w:lang w:val="en-US" w:eastAsia="zh-CN"/>
        </w:rPr>
        <w:t>中央、省委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要求全面完成绩效目标（含事前评估）、绩效评价等预算绩效管理工作；省级部门对市县主管部门预算绩效管理要求到位，不定期对市县资金分配和项目管理进行指导和对市县开展评价、监督、指导等工作。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tbl>
      <w:tblPr>
        <w:tblStyle w:val="6"/>
        <w:tblW w:w="927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7"/>
        <w:gridCol w:w="1478"/>
        <w:gridCol w:w="1879"/>
        <w:gridCol w:w="567"/>
        <w:gridCol w:w="1383"/>
        <w:gridCol w:w="1325"/>
        <w:gridCol w:w="9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47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开展在线有效咨询服务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次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6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入库信息员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98" w:hRule="atLeast"/>
        </w:trPr>
        <w:tc>
          <w:tcPr>
            <w:tcW w:w="16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入库专家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发布技术供给、产业信息、供销对接信息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条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9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100%</w:t>
            </w:r>
          </w:p>
        </w:tc>
      </w:tr>
    </w:tbl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8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276BDB"/>
    <w:multiLevelType w:val="singleLevel"/>
    <w:tmpl w:val="09276BDB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07E4AAB"/>
    <w:rsid w:val="19773815"/>
    <w:rsid w:val="1B4A3EC4"/>
    <w:rsid w:val="233944F1"/>
    <w:rsid w:val="2439349C"/>
    <w:rsid w:val="244E01D1"/>
    <w:rsid w:val="26F25F24"/>
    <w:rsid w:val="29317C06"/>
    <w:rsid w:val="31A15760"/>
    <w:rsid w:val="33DA011B"/>
    <w:rsid w:val="348F1D17"/>
    <w:rsid w:val="35532A7C"/>
    <w:rsid w:val="358B1B11"/>
    <w:rsid w:val="3D1F699E"/>
    <w:rsid w:val="3F830524"/>
    <w:rsid w:val="423607D0"/>
    <w:rsid w:val="42956AB8"/>
    <w:rsid w:val="4A0B0DD8"/>
    <w:rsid w:val="54BB15FA"/>
    <w:rsid w:val="55704B34"/>
    <w:rsid w:val="57B166CC"/>
    <w:rsid w:val="5DBC40E7"/>
    <w:rsid w:val="5E091120"/>
    <w:rsid w:val="5E2B66F2"/>
    <w:rsid w:val="77991202"/>
    <w:rsid w:val="AFFDB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unhideWhenUsed/>
    <w:qFormat/>
    <w:uiPriority w:val="99"/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0</TotalTime>
  <ScaleCrop>false</ScaleCrop>
  <LinksUpToDate>false</LinksUpToDate>
  <CharactersWithSpaces>335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2025-11-12T10:33:43Z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CD14128851FF4C64A5534974F19A36DC</vt:lpwstr>
  </property>
</Properties>
</file>