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2"/>
          <w:szCs w:val="32"/>
          <w:lang w:eastAsia="zh-CN"/>
        </w:rPr>
      </w:pPr>
      <w:bookmarkStart w:id="0" w:name="_Toc15396616"/>
      <w:r>
        <w:rPr>
          <w:rFonts w:hint="eastAsia" w:ascii="仿宋_GB2312" w:hAnsi="黑体" w:eastAsia="仿宋_GB2312" w:cs="方正小标宋简体"/>
          <w:b/>
          <w:sz w:val="32"/>
          <w:szCs w:val="32"/>
          <w:lang w:eastAsia="zh-CN"/>
        </w:rPr>
        <w:t>黑水县畜牧兽医服务中心</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年部门整体支出绩效评价报告</w:t>
      </w:r>
      <w:bookmarkEnd w:id="0"/>
    </w:p>
    <w:p>
      <w:pPr>
        <w:spacing w:line="580" w:lineRule="exact"/>
        <w:ind w:firstLine="642" w:firstLineChars="200"/>
        <w:rPr>
          <w:rFonts w:ascii="仿宋_GB2312" w:hAnsi="黑体" w:eastAsia="仿宋_GB2312" w:cs="黑体"/>
          <w:b/>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spacing w:line="580" w:lineRule="exact"/>
        <w:ind w:firstLine="640" w:firstLineChars="200"/>
        <w:rPr>
          <w:rFonts w:hint="eastAsia" w:ascii="仿宋_GB2312" w:hAnsi="仿宋" w:eastAsia="仿宋_GB2312" w:cs="仿宋_GB2312"/>
          <w:sz w:val="32"/>
          <w:szCs w:val="32"/>
        </w:rPr>
      </w:pPr>
      <w:r>
        <w:rPr>
          <w:rFonts w:hint="default" w:ascii="仿宋_GB2312" w:hAnsi="仿宋" w:eastAsia="仿宋_GB2312" w:cs="仿宋_GB2312"/>
          <w:sz w:val="32"/>
          <w:szCs w:val="32"/>
        </w:rPr>
        <w:t xml:space="preserve">本单位无下属二级预算单位，内设机构 </w:t>
      </w:r>
      <w:r>
        <w:rPr>
          <w:rFonts w:hint="eastAsia" w:ascii="仿宋_GB2312" w:hAnsi="仿宋" w:eastAsia="仿宋_GB2312" w:cs="仿宋_GB2312"/>
          <w:sz w:val="32"/>
          <w:szCs w:val="32"/>
          <w:lang w:val="en-US" w:eastAsia="zh-CN"/>
        </w:rPr>
        <w:t>24</w:t>
      </w:r>
      <w:r>
        <w:rPr>
          <w:rFonts w:hint="default" w:ascii="仿宋_GB2312" w:hAnsi="仿宋" w:eastAsia="仿宋_GB2312" w:cs="仿宋_GB2312"/>
          <w:sz w:val="32"/>
          <w:szCs w:val="32"/>
        </w:rPr>
        <w:t>个。其中</w:t>
      </w:r>
      <w:r>
        <w:rPr>
          <w:rFonts w:hint="eastAsia" w:ascii="仿宋_GB2312" w:hAnsi="仿宋" w:eastAsia="仿宋_GB2312" w:cs="仿宋_GB2312"/>
          <w:sz w:val="32"/>
          <w:szCs w:val="32"/>
          <w:lang w:eastAsia="zh-CN"/>
        </w:rPr>
        <w:t>行政机构</w:t>
      </w:r>
      <w:r>
        <w:rPr>
          <w:rFonts w:hint="eastAsia" w:ascii="仿宋_GB2312" w:hAnsi="仿宋" w:eastAsia="仿宋_GB2312" w:cs="仿宋_GB2312"/>
          <w:sz w:val="32"/>
          <w:szCs w:val="32"/>
          <w:lang w:val="en-US" w:eastAsia="zh-CN"/>
        </w:rPr>
        <w:t>1个</w:t>
      </w:r>
      <w:r>
        <w:rPr>
          <w:rFonts w:hint="eastAsia" w:ascii="仿宋_GB2312" w:hAnsi="仿宋" w:eastAsia="仿宋_GB2312" w:cs="仿宋_GB2312"/>
          <w:sz w:val="32"/>
          <w:szCs w:val="32"/>
          <w:lang w:eastAsia="zh-CN"/>
        </w:rPr>
        <w:t>：农业农村水利和科技局</w:t>
      </w:r>
      <w:r>
        <w:rPr>
          <w:rFonts w:hint="eastAsia" w:ascii="仿宋_GB2312" w:hAnsi="仿宋" w:eastAsia="仿宋_GB2312" w:cs="仿宋_GB2312"/>
          <w:sz w:val="32"/>
          <w:szCs w:val="32"/>
          <w:lang w:val="en-US" w:eastAsia="zh-CN"/>
        </w:rPr>
        <w:t>；参公</w:t>
      </w:r>
      <w:r>
        <w:rPr>
          <w:rFonts w:hint="default" w:ascii="仿宋_GB2312" w:hAnsi="仿宋" w:eastAsia="仿宋_GB2312" w:cs="仿宋_GB2312"/>
          <w:sz w:val="32"/>
          <w:szCs w:val="32"/>
        </w:rPr>
        <w:t>机构5个</w:t>
      </w:r>
      <w:r>
        <w:rPr>
          <w:rFonts w:hint="eastAsia" w:ascii="仿宋_GB2312" w:hAnsi="仿宋" w:eastAsia="仿宋_GB2312" w:cs="仿宋_GB2312"/>
          <w:sz w:val="32"/>
          <w:szCs w:val="32"/>
          <w:lang w:eastAsia="zh-CN"/>
        </w:rPr>
        <w:t>：</w:t>
      </w:r>
      <w:r>
        <w:rPr>
          <w:rFonts w:hint="default" w:ascii="仿宋_GB2312" w:hAnsi="仿宋" w:eastAsia="仿宋_GB2312" w:cs="仿宋_GB2312"/>
          <w:sz w:val="32"/>
          <w:szCs w:val="32"/>
        </w:rPr>
        <w:t>畜牧兽医服务中心、农业</w:t>
      </w:r>
      <w:r>
        <w:rPr>
          <w:rFonts w:hint="eastAsia" w:ascii="仿宋_GB2312" w:hAnsi="仿宋" w:eastAsia="仿宋_GB2312" w:cs="仿宋_GB2312"/>
          <w:sz w:val="32"/>
          <w:szCs w:val="32"/>
          <w:lang w:eastAsia="zh-CN"/>
        </w:rPr>
        <w:t>综合行政</w:t>
      </w:r>
      <w:r>
        <w:rPr>
          <w:rFonts w:hint="default" w:ascii="仿宋_GB2312" w:hAnsi="仿宋" w:eastAsia="仿宋_GB2312" w:cs="仿宋_GB2312"/>
          <w:sz w:val="32"/>
          <w:szCs w:val="32"/>
        </w:rPr>
        <w:t>执法</w:t>
      </w:r>
      <w:r>
        <w:rPr>
          <w:rFonts w:hint="eastAsia" w:ascii="仿宋_GB2312" w:hAnsi="仿宋" w:eastAsia="仿宋_GB2312" w:cs="仿宋_GB2312"/>
          <w:sz w:val="32"/>
          <w:szCs w:val="32"/>
          <w:lang w:eastAsia="zh-CN"/>
        </w:rPr>
        <w:t>大</w:t>
      </w:r>
      <w:r>
        <w:rPr>
          <w:rFonts w:hint="default" w:ascii="仿宋_GB2312" w:hAnsi="仿宋" w:eastAsia="仿宋_GB2312" w:cs="仿宋_GB2312"/>
          <w:sz w:val="32"/>
          <w:szCs w:val="32"/>
        </w:rPr>
        <w:t>队、农村能源服务中心、农村经营管理站、扶贫移民工作管理中心；事业机构1</w:t>
      </w:r>
      <w:r>
        <w:rPr>
          <w:rFonts w:hint="eastAsia" w:ascii="仿宋_GB2312" w:hAnsi="仿宋" w:eastAsia="仿宋_GB2312" w:cs="仿宋_GB2312"/>
          <w:sz w:val="32"/>
          <w:szCs w:val="32"/>
          <w:lang w:val="en-US" w:eastAsia="zh-CN"/>
        </w:rPr>
        <w:t>4</w:t>
      </w:r>
      <w:r>
        <w:rPr>
          <w:rFonts w:hint="default" w:ascii="仿宋_GB2312" w:hAnsi="仿宋" w:eastAsia="仿宋_GB2312" w:cs="仿宋_GB2312"/>
          <w:sz w:val="32"/>
          <w:szCs w:val="32"/>
        </w:rPr>
        <w:t>个：科学技术服务中心、经济作物管理站、科教站</w:t>
      </w:r>
      <w:r>
        <w:rPr>
          <w:rFonts w:hint="eastAsia" w:ascii="仿宋_GB2312" w:hAnsi="仿宋" w:eastAsia="仿宋_GB2312" w:cs="仿宋_GB2312"/>
          <w:sz w:val="32"/>
          <w:szCs w:val="32"/>
          <w:lang w:eastAsia="zh-CN"/>
        </w:rPr>
        <w:t>、</w:t>
      </w:r>
      <w:r>
        <w:rPr>
          <w:rFonts w:hint="default" w:ascii="仿宋_GB2312" w:hAnsi="仿宋" w:eastAsia="仿宋_GB2312" w:cs="仿宋_GB2312"/>
          <w:sz w:val="32"/>
          <w:szCs w:val="32"/>
        </w:rPr>
        <w:t>良种示范繁殖场、植保植检站、农业</w:t>
      </w:r>
      <w:r>
        <w:rPr>
          <w:rFonts w:hint="eastAsia" w:ascii="仿宋_GB2312" w:hAnsi="仿宋" w:eastAsia="仿宋_GB2312" w:cs="仿宋_GB2312"/>
          <w:sz w:val="32"/>
          <w:szCs w:val="32"/>
          <w:lang w:eastAsia="zh-CN"/>
        </w:rPr>
        <w:t>科学</w:t>
      </w:r>
      <w:r>
        <w:rPr>
          <w:rFonts w:hint="default" w:ascii="仿宋_GB2312" w:hAnsi="仿宋" w:eastAsia="仿宋_GB2312" w:cs="仿宋_GB2312"/>
          <w:sz w:val="32"/>
          <w:szCs w:val="32"/>
        </w:rPr>
        <w:t>技术推广站、土肥站、种子站、农产品检验检测站、畜牧工作站、动物疫病预防控制中心、 水务服务中心、乡村振兴服务中心</w:t>
      </w:r>
      <w:r>
        <w:rPr>
          <w:rFonts w:hint="eastAsia" w:ascii="仿宋_GB2312" w:hAnsi="仿宋" w:eastAsia="仿宋_GB2312" w:cs="仿宋_GB2312"/>
          <w:sz w:val="32"/>
          <w:szCs w:val="32"/>
          <w:lang w:eastAsia="zh-CN"/>
        </w:rPr>
        <w:t>、灌区管理站</w:t>
      </w:r>
      <w:r>
        <w:rPr>
          <w:rFonts w:hint="default" w:ascii="仿宋_GB2312" w:hAnsi="仿宋" w:eastAsia="仿宋_GB2312" w:cs="仿宋_GB2312"/>
          <w:sz w:val="32"/>
          <w:szCs w:val="32"/>
        </w:rPr>
        <w:t>。</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rPr>
        <w:t>1</w:t>
      </w:r>
      <w:r>
        <w:rPr>
          <w:rFonts w:hint="default"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组织开展“三农”工作重大问题调查和政策研究。起草“三农”工作政策文件、综合性文稿。负责督促、指导、检查乡（镇）落实中央、省委、省政府、州委、州政府、县委、县政府关于“三农”工作重要决策部署。承担会同有关部门组织实施乡村振兴战略实绩考核有关工作。指导农业区域协调发展。牵头对“三农”重要政策、重大项目、重点工作执行情况开展考核检查。</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2.</w:t>
      </w:r>
      <w:r>
        <w:rPr>
          <w:rFonts w:hint="eastAsia" w:ascii="仿宋_GB2312" w:hAnsi="仿宋" w:eastAsia="仿宋_GB2312" w:cs="仿宋_GB2312"/>
          <w:sz w:val="32"/>
          <w:szCs w:val="32"/>
          <w:lang w:val="en-US" w:eastAsia="zh-CN"/>
        </w:rPr>
        <w:t>统筹协调宜居宜业和美乡村建设，协调推进乡村建设行动。推动农村基础设施、公共设施建设和运行管护。负责牵头组织改善农村人居环境、提出全县农村人居环境整治项目安排建议并组织实施，组织开展农村厕所革命。统筹指导村庄整治、村容村貌提升，健全农民参与乡村建设机制。参与推进全县乡村治理体系建设，参与农村基层组织建设、基层政权建设、党风廉政建设、基层民主建设、基层法治建设工作。承担统筹协调推动农村社会事业发展、公共服务体系建设工作。监督减轻农民负担和村民“一事一议”筹资筹劳管理。指导农业文化遗产保护传承和开发利用。推动农村文化发展和移风易俗，指导农村精神文明和优秀农耕文化建设。</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3.</w:t>
      </w:r>
      <w:r>
        <w:rPr>
          <w:rFonts w:hint="eastAsia" w:ascii="仿宋_GB2312" w:hAnsi="仿宋" w:eastAsia="仿宋_GB2312" w:cs="仿宋_GB2312"/>
          <w:sz w:val="32"/>
          <w:szCs w:val="32"/>
          <w:lang w:val="en-US" w:eastAsia="zh-CN"/>
        </w:rPr>
        <w:t>组织开展防止返贫监测和帮扶工作，统筹指导全县防止返贫常态化监测帮扶体系建设，承担防止返贫监测大数据平台运用管理工作。协调推动脱贫劳动力就业，指导开展技能培训。协调落实脱贫地区特殊群体帮扶政策。承担农村低收入人口常态化帮扶有关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4.</w:t>
      </w:r>
      <w:r>
        <w:rPr>
          <w:rFonts w:hint="eastAsia" w:ascii="仿宋_GB2312" w:hAnsi="仿宋" w:eastAsia="仿宋_GB2312" w:cs="仿宋_GB2312"/>
          <w:sz w:val="32"/>
          <w:szCs w:val="32"/>
          <w:lang w:val="en-US" w:eastAsia="zh-CN"/>
        </w:rPr>
        <w:t>组织开展巩固拓展脱贫攻坚成果政策和重大问题调查研究，协同推进脱贫地区义务教育、基本医疗、住房安全和饮水安全保障工作。协调组织巩固拓展脱贫攻坚成果、推进乡村振兴有关重大部署和政策落实情况监督检查。牵头实施过渡期巩固拓展脱贫攻坚成果同乡村振兴有效衔接考核评估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5.</w:t>
      </w:r>
      <w:r>
        <w:rPr>
          <w:rFonts w:hint="eastAsia" w:ascii="仿宋_GB2312" w:hAnsi="仿宋" w:eastAsia="仿宋_GB2312" w:cs="仿宋_GB2312"/>
          <w:sz w:val="32"/>
          <w:szCs w:val="32"/>
          <w:lang w:val="en-US" w:eastAsia="zh-CN"/>
        </w:rPr>
        <w:t>组织开展易地搬迁后续扶持重大问题调查研究，拟订落实后续扶持政策，统筹协调基础设施改造升级、基本公共服务完善提升、社区治理和社会融入工作，推动安置区可持续发展。统筹推动国家、省重点帮扶县政策措施优化落实、发展要素整合聚集和支持体系建设。协同推进欠发达地区帮扶和乡村发展。负责动员社会力量参与巩固拓展脱贫攻坚成果和推进乡村振兴。</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6.</w:t>
      </w:r>
      <w:r>
        <w:rPr>
          <w:rFonts w:hint="eastAsia" w:ascii="仿宋_GB2312" w:hAnsi="仿宋" w:eastAsia="仿宋_GB2312" w:cs="仿宋_GB2312"/>
          <w:sz w:val="32"/>
          <w:szCs w:val="32"/>
          <w:lang w:val="en-US" w:eastAsia="zh-CN"/>
        </w:rPr>
        <w:t>承担全县“三农”及巩固拓展脱贫攻坚成果同乡村振兴有效衔接的信息化建设及信息数据处理和统计、宣传、信息报送工作；负责全县农业行业及巩固拓展脱贫攻坚成果同乡村振兴有效衔接工作典型经验的推广。</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7.</w:t>
      </w:r>
      <w:r>
        <w:rPr>
          <w:rFonts w:hint="eastAsia" w:ascii="仿宋_GB2312" w:hAnsi="仿宋" w:eastAsia="仿宋_GB2312" w:cs="仿宋_GB2312"/>
          <w:sz w:val="32"/>
          <w:szCs w:val="32"/>
          <w:lang w:val="en-US" w:eastAsia="zh-CN"/>
        </w:rPr>
        <w:t>提出扶持全县农业农村发展的财政政策和项目建议，组织提出农业投资规模、方向的建议并监督实施。组织开展农业投资项目资金绩效管理。按国务院、省政府、州政府规定权限审批农业投资项目，负责农业投资项目统筹整合、资金安排和监督管理。研究提出财政衔接乡村振兴相关资金分配建议方案并指导、监督资金使用。参与农村金融、农业保险的政策制定和改革试点。牵头832平台、扶贫资产确权移交、衔接资金项目储备工作。参与农业政策性补贴实施。组织开展东西部协作、定点帮扶，省内结对帮扶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8.</w:t>
      </w:r>
      <w:r>
        <w:rPr>
          <w:rFonts w:hint="eastAsia" w:ascii="仿宋_GB2312" w:hAnsi="仿宋" w:eastAsia="仿宋_GB2312" w:cs="仿宋_GB2312"/>
          <w:sz w:val="32"/>
          <w:szCs w:val="32"/>
          <w:lang w:val="en-US" w:eastAsia="zh-CN"/>
        </w:rPr>
        <w:t>牵头农作物、畜禽、水产养殖等新品种育种攻关，组织农业先进技术引进、试验、转化、示范、推广。协调推动农业科技体制改革及农技推广体系建设。监督管理农业转基因生物安全。负责农业科技成果的管理。指导农业教育。指导农业科技推广等公益性社会化服务组织建设。牵头研究拟订全州高素质农民教育培训、认定管理、职称评定、生产生活扶持等制度。负责全州高素质农民培育工作，指导培训基地建设。负责高素质农民职称认定工作。研究拟订农村实用人才、技能型人才扶持政策并组织实施。承担指导开展农村创业工作。承担机关和所属事业单位干部队伍建设、机构编制、工资和干部职工教育培训工作。指导农业专业技术职称评审、农业农村系统内干部培训和人才队伍建设。</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9.</w:t>
      </w:r>
      <w:r>
        <w:rPr>
          <w:rFonts w:hint="eastAsia" w:ascii="仿宋_GB2312" w:hAnsi="仿宋" w:eastAsia="仿宋_GB2312" w:cs="仿宋_GB2312"/>
          <w:sz w:val="32"/>
          <w:szCs w:val="32"/>
          <w:lang w:val="en-US" w:eastAsia="zh-CN"/>
        </w:rPr>
        <w:t>负责拟订全县农业机械化发展规划并组织实施。组织开展农业机械重大关键技术攻关。指导农机库棚、农业机械作业通行条件等基础设施建设。负责农机购置与应用补贴政策指导与实施。拟订农村机电提灌发展规划，指导农村机电提灌建设。承担拖拉机、联合收割机等农业机械的登记、牌证核发和驾驶操作人员的监督管理。负责农业机械安全生产和职业健康监督管理，承担农业机械事故责任认定、调解处理工作，组织开展农业机械安全监督检查。</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10.</w:t>
      </w:r>
      <w:r>
        <w:rPr>
          <w:rFonts w:hint="eastAsia" w:ascii="仿宋_GB2312" w:hAnsi="仿宋" w:eastAsia="仿宋_GB2312" w:cs="仿宋_GB2312"/>
          <w:sz w:val="32"/>
          <w:szCs w:val="32"/>
          <w:lang w:eastAsia="zh-CN"/>
        </w:rPr>
        <w:t>负责</w:t>
      </w:r>
      <w:r>
        <w:rPr>
          <w:rFonts w:hint="eastAsia" w:ascii="仿宋_GB2312" w:hAnsi="仿宋" w:eastAsia="仿宋_GB2312" w:cs="仿宋_GB2312"/>
          <w:sz w:val="32"/>
          <w:szCs w:val="32"/>
          <w:lang w:val="en-US" w:eastAsia="zh-CN"/>
        </w:rPr>
        <w:t>农业领域、水务领域的执法工作，</w:t>
      </w:r>
      <w:r>
        <w:rPr>
          <w:rFonts w:hint="default" w:ascii="仿宋_GB2312" w:hAnsi="仿宋" w:eastAsia="仿宋_GB2312" w:cs="仿宋_GB2312"/>
          <w:sz w:val="32"/>
          <w:szCs w:val="32"/>
          <w:lang w:val="en-US" w:eastAsia="zh-CN"/>
        </w:rPr>
        <w:t>组织协调由县本级办理的涉农、涉水违法案件</w:t>
      </w:r>
      <w:r>
        <w:rPr>
          <w:rFonts w:hint="eastAsia" w:ascii="仿宋_GB2312" w:hAnsi="仿宋" w:eastAsia="仿宋_GB2312" w:cs="仿宋_GB2312"/>
          <w:sz w:val="32"/>
          <w:szCs w:val="32"/>
          <w:lang w:val="en-US" w:eastAsia="zh-CN"/>
        </w:rPr>
        <w:t>及</w:t>
      </w:r>
      <w:r>
        <w:rPr>
          <w:rFonts w:hint="default" w:ascii="仿宋_GB2312" w:hAnsi="仿宋" w:eastAsia="仿宋_GB2312" w:cs="仿宋_GB2312"/>
          <w:sz w:val="32"/>
          <w:szCs w:val="32"/>
          <w:lang w:val="en-US" w:eastAsia="zh-CN"/>
        </w:rPr>
        <w:t>重大案件查处和跨区域执法工作</w:t>
      </w:r>
      <w:r>
        <w:rPr>
          <w:rFonts w:hint="eastAsia" w:ascii="仿宋_GB2312" w:hAnsi="仿宋" w:eastAsia="仿宋_GB2312" w:cs="仿宋_GB2312"/>
          <w:sz w:val="32"/>
          <w:szCs w:val="32"/>
          <w:lang w:val="en-US" w:eastAsia="zh-CN"/>
        </w:rPr>
        <w:t>。负责</w:t>
      </w:r>
      <w:r>
        <w:rPr>
          <w:rFonts w:hint="eastAsia" w:ascii="仿宋_GB2312" w:hAnsi="仿宋" w:eastAsia="仿宋_GB2312" w:cs="仿宋_GB2312"/>
          <w:sz w:val="32"/>
          <w:szCs w:val="32"/>
          <w:lang w:eastAsia="zh-CN"/>
        </w:rPr>
        <w:t>动物卫生监督、十年禁渔、水产和水生野生动物保护等</w:t>
      </w:r>
      <w:r>
        <w:rPr>
          <w:rFonts w:hint="eastAsia" w:ascii="仿宋_GB2312" w:hAnsi="仿宋" w:eastAsia="仿宋_GB2312" w:cs="仿宋_GB2312"/>
          <w:sz w:val="32"/>
          <w:szCs w:val="32"/>
          <w:lang w:val="en-US" w:eastAsia="zh-CN"/>
        </w:rPr>
        <w:t>工作。负责渔政渔港、网具监督管理。</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11.</w:t>
      </w:r>
      <w:r>
        <w:rPr>
          <w:rFonts w:hint="eastAsia" w:ascii="仿宋_GB2312" w:hAnsi="仿宋" w:eastAsia="仿宋_GB2312" w:cs="仿宋_GB2312"/>
          <w:sz w:val="32"/>
          <w:szCs w:val="32"/>
          <w:lang w:val="en-US" w:eastAsia="zh-CN"/>
        </w:rPr>
        <w:t>负责饲料及添加剂生产、经营和使用的监督管理。牵头负责“瘦肉精”监管工作，可在生猪养殖、收购、贩运、定点屠宰环节实施对“瘦肉精” 的检验、认定和查处。负责兽药(渔药)及兽医器械研制、生产、经营和使用的监督管理。拟订兽药(渔药)残留限量和残留监测方法地方标准并组织实施。指导奶业发展，监督管理生鲜乳生产收购运输环节质量安全。负责畜禽屠宰行业、饲料、兽药(渔药)的安全生产和职业健康的监督管理。负责农业、水务行政执法体系建设。</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12.</w:t>
      </w:r>
      <w:r>
        <w:rPr>
          <w:rFonts w:hint="eastAsia" w:ascii="仿宋_GB2312" w:hAnsi="仿宋" w:eastAsia="仿宋_GB2312" w:cs="仿宋_GB2312"/>
          <w:sz w:val="32"/>
          <w:szCs w:val="32"/>
          <w:lang w:val="en-US" w:eastAsia="zh-CN"/>
        </w:rPr>
        <w:t>起草全县渔业发展政策、规划。保护和合理开发利用渔业资源，指导水产健康养殖和水产品加工流通，组织水生动植物病害防控。负责渔业技术推广体系建设管理，负责渔业安全生产和职业健康监督管理。承担水生动物防疫检疫、病害防控、渔事纠纷处理等相关工作。指导渔业防灾减灾和灾后生产恢复。</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13.</w:t>
      </w:r>
      <w:r>
        <w:rPr>
          <w:rFonts w:hint="eastAsia" w:ascii="仿宋_GB2312" w:hAnsi="仿宋" w:eastAsia="仿宋_GB2312" w:cs="仿宋_GB2312"/>
          <w:sz w:val="32"/>
          <w:szCs w:val="32"/>
          <w:lang w:val="en-US" w:eastAsia="zh-CN"/>
        </w:rPr>
        <w:t>负责畜禽屠宰行业、兽医事业发展规划和政策。牵头组织畜牧兽医标准化和体系建设。负责兽医从业人员和中藏兽医、动物诊疗机构管理。</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14.统筹研究推进全县创新体系建设</w:t>
      </w:r>
      <w:r>
        <w:rPr>
          <w:rFonts w:hint="eastAsia" w:ascii="仿宋_GB2312" w:hAnsi="仿宋" w:eastAsia="仿宋_GB2312" w:cs="仿宋_GB2312"/>
          <w:sz w:val="32"/>
          <w:szCs w:val="32"/>
          <w:lang w:val="en-US" w:eastAsia="zh-CN"/>
        </w:rPr>
        <w:t>和</w:t>
      </w:r>
      <w:r>
        <w:rPr>
          <w:rFonts w:hint="default" w:ascii="仿宋_GB2312" w:hAnsi="仿宋" w:eastAsia="仿宋_GB2312" w:cs="仿宋_GB2312"/>
          <w:sz w:val="32"/>
          <w:szCs w:val="32"/>
          <w:lang w:eastAsia="zh-CN"/>
        </w:rPr>
        <w:t>深化科技体制改革的政策建议并督促落实。拟订科技促进农业农村和社会发展的规划、政策和措施并组织实施。牵头全县技术转移体系建设，拟订科技成果转移转化和产学研结合的政策并组织实施。统筹科技监督评价体系建设、科技评价机制改革和科研诚信建设。</w:t>
      </w:r>
      <w:r>
        <w:rPr>
          <w:rFonts w:hint="eastAsia" w:ascii="仿宋_GB2312" w:hAnsi="仿宋" w:eastAsia="仿宋_GB2312" w:cs="仿宋_GB2312"/>
          <w:sz w:val="32"/>
          <w:szCs w:val="32"/>
          <w:lang w:eastAsia="zh-CN"/>
        </w:rPr>
        <w:t>负责</w:t>
      </w:r>
      <w:r>
        <w:rPr>
          <w:rFonts w:hint="default" w:ascii="仿宋_GB2312" w:hAnsi="仿宋" w:eastAsia="仿宋_GB2312" w:cs="仿宋_GB2312"/>
          <w:sz w:val="32"/>
          <w:szCs w:val="32"/>
          <w:lang w:eastAsia="zh-CN"/>
        </w:rPr>
        <w:t>基础研究、技术创新、成果转化、</w:t>
      </w:r>
      <w:r>
        <w:rPr>
          <w:rFonts w:hint="eastAsia" w:ascii="仿宋_GB2312" w:hAnsi="仿宋" w:eastAsia="仿宋_GB2312" w:cs="仿宋_GB2312"/>
          <w:sz w:val="32"/>
          <w:szCs w:val="32"/>
          <w:lang w:eastAsia="zh-CN"/>
        </w:rPr>
        <w:t>科学技术普及宣传、</w:t>
      </w:r>
      <w:r>
        <w:rPr>
          <w:rFonts w:hint="default" w:ascii="仿宋_GB2312" w:hAnsi="仿宋" w:eastAsia="仿宋_GB2312" w:cs="仿宋_GB2312"/>
          <w:sz w:val="32"/>
          <w:szCs w:val="32"/>
          <w:lang w:eastAsia="zh-CN"/>
        </w:rPr>
        <w:t>科技金融服务、创新人才支撑</w:t>
      </w:r>
      <w:r>
        <w:rPr>
          <w:rFonts w:hint="eastAsia" w:ascii="仿宋_GB2312" w:hAnsi="仿宋" w:eastAsia="仿宋_GB2312" w:cs="仿宋_GB2312"/>
          <w:sz w:val="32"/>
          <w:szCs w:val="32"/>
          <w:lang w:eastAsia="zh-CN"/>
        </w:rPr>
        <w:t>等工作，负责科技项目的编制、申报、组织实施和管理等工作。负责中药材产业发展、落实好中药材项目、拓宽中药材销售渠道等工作。负责科技特派团，科技兴村在线平台建设，</w:t>
      </w:r>
      <w:r>
        <w:rPr>
          <w:rFonts w:hint="eastAsia" w:ascii="仿宋_GB2312" w:hAnsi="仿宋" w:eastAsia="仿宋_GB2312" w:cs="仿宋_GB2312"/>
          <w:sz w:val="32"/>
          <w:szCs w:val="32"/>
          <w:lang w:val="en-US" w:eastAsia="zh-CN"/>
        </w:rPr>
        <w:t>中药材生产、统计工作，</w:t>
      </w:r>
      <w:r>
        <w:rPr>
          <w:rFonts w:hint="eastAsia" w:ascii="仿宋_GB2312" w:hAnsi="仿宋" w:eastAsia="仿宋_GB2312" w:cs="仿宋_GB2312"/>
          <w:sz w:val="32"/>
          <w:szCs w:val="32"/>
          <w:lang w:eastAsia="zh-CN"/>
        </w:rPr>
        <w:t>科技园区、中药材园区建设工作。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15.</w:t>
      </w:r>
      <w:r>
        <w:rPr>
          <w:rFonts w:hint="eastAsia" w:ascii="仿宋_GB2312" w:hAnsi="仿宋" w:eastAsia="仿宋_GB2312" w:cs="仿宋_GB2312"/>
          <w:sz w:val="32"/>
          <w:szCs w:val="32"/>
          <w:lang w:val="en-US" w:eastAsia="zh-CN"/>
        </w:rPr>
        <w:t>牵头农业农村体制改革工作。承担农村改革综合性、全局性政策研究，统筹协调和组织推进农村改革工作。拟订农村体制改革、机制创新工作方案。协调并组织实施农村改革试点示范、经验总结等工作。参与指导县域内城乡融合和区域协调发展。负责起草全县农村宅基地改革和管理相关地方性政策，指导宅基地分配、使用、流转、纠纷仲裁管理和用地标准、违法用地查处，配合做好宅基地确权登记办证工作，指导开展宅基地“三权分置”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16.</w:t>
      </w:r>
      <w:r>
        <w:rPr>
          <w:rFonts w:hint="eastAsia" w:ascii="仿宋_GB2312" w:hAnsi="仿宋" w:eastAsia="仿宋_GB2312" w:cs="仿宋_GB2312"/>
          <w:sz w:val="32"/>
          <w:szCs w:val="32"/>
          <w:lang w:val="en-US" w:eastAsia="zh-CN"/>
        </w:rPr>
        <w:t>宣传落实农民承包地管理、农民专业合作社、农村集体经济组织、集体资产管理等政策法规。指导农民承包土地“三权分置”、土地经营权流转、纠纷调解仲裁管理。指导农村集体资产和财务管理、发展壮大新型农村集体经济，承担农村集体产权制度改革工作。负责新型农业经营主体培育发展和监督管理，负责农业社会化服务体系建设。负责农经统计工作，农村经济运行分析工作。指导发展新型农业经营主体和多种形式适度规模经营。指导促进农民增收工作。负责农业产业化经营发展工作，牵头托底性帮扶、空间规划、田长制、</w:t>
      </w:r>
      <w:r>
        <w:rPr>
          <w:rFonts w:hint="eastAsia" w:ascii="仿宋_GB2312" w:hAnsi="仿宋" w:eastAsia="仿宋_GB2312" w:cs="仿宋_GB2312"/>
          <w:sz w:val="32"/>
          <w:szCs w:val="32"/>
          <w:lang w:eastAsia="zh-CN"/>
        </w:rPr>
        <w:t>农业农村体制改革</w:t>
      </w:r>
      <w:r>
        <w:rPr>
          <w:rFonts w:hint="eastAsia" w:ascii="仿宋_GB2312" w:hAnsi="仿宋" w:eastAsia="仿宋_GB2312" w:cs="仿宋_GB2312"/>
          <w:sz w:val="32"/>
          <w:szCs w:val="32"/>
          <w:lang w:val="en-US" w:eastAsia="zh-CN"/>
        </w:rPr>
        <w:t>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17.</w:t>
      </w:r>
      <w:r>
        <w:rPr>
          <w:rFonts w:hint="eastAsia" w:ascii="仿宋_GB2312" w:hAnsi="仿宋" w:eastAsia="仿宋_GB2312" w:cs="仿宋_GB2312"/>
          <w:sz w:val="32"/>
          <w:szCs w:val="32"/>
          <w:lang w:val="en-US" w:eastAsia="zh-CN"/>
        </w:rPr>
        <w:t>统筹研究全县以乡村振兴为重点的“三农”工作发展战略、中长期发展规划、区域发展规划，提出实施的政策建议，组织构建现代农业产业体系、生产体系、经营体系。承担推进构建多元化食物供给体系有关工作。组织农业资源区划工作。负责农业园区规划布局，拟订现代农业园区建设标准，承担各类现代农业产业园区(示范区)监测、评价、考核和监督管理工作。负责指导有关示范创建和监督管理工作。牵头推进农业绿色发展有关工作，对农业园区的安全生产和职业健康工作实施行业监督管理。负责拟订推动产业发展的政策、规划并组织实施。组织协调全县乡村产业发展，推动延长农产品产业链。起草促进乡村特色产业、农产品加工业(产地初加工)、休闲农业和乡村企业发展的政策措施。拟订经济作物发展的政策、规划、计划并组织实施。提出农业产业化经营发展的政策建议。承担乡村帮扶特色产业发展有关工作。承担经济作物检疫性有害生物、重大病虫害防治和防灾减灾工作。牵头一村一品工作、“三保一挂”工作，统筹园区申报规划。</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val="en-US" w:eastAsia="zh-CN"/>
        </w:rPr>
        <w:t>18.</w:t>
      </w:r>
      <w:r>
        <w:rPr>
          <w:rFonts w:hint="eastAsia" w:ascii="仿宋_GB2312" w:hAnsi="仿宋" w:eastAsia="仿宋_GB2312" w:cs="仿宋_GB2312"/>
          <w:sz w:val="32"/>
          <w:szCs w:val="32"/>
          <w:lang w:val="en-US" w:eastAsia="zh-CN"/>
        </w:rPr>
        <w:t>负责全县农田建设管理工作。拟订农田建设发展规划，提出农田建设项目需求建议。承担耕地质量管理和高标准农田建设管理有关工作。编制农业综合开发项目、农田建设项目、农田整治项目、农田水利建设项目的年度计划，并组织实施和管理。负责新增耕地质量鉴定工作。负责永久基本农田质量保护。拟订全县种植业(粮油)发展政策、规划。承担指导种植业(粮油)结构和布局调整及标准化生产工作，发布农情信息。承担种植业生产、统计工作；负责粮食生产工作；承担发展节水农业和抗灾救灾有关工作。负责种植业方面政策性补贴兑付等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19.</w:t>
      </w:r>
      <w:r>
        <w:rPr>
          <w:rFonts w:hint="eastAsia" w:ascii="仿宋_GB2312" w:hAnsi="仿宋" w:eastAsia="仿宋_GB2312" w:cs="仿宋_GB2312"/>
          <w:sz w:val="32"/>
          <w:szCs w:val="32"/>
          <w:lang w:val="en-US" w:eastAsia="zh-CN"/>
        </w:rPr>
        <w:t>起草全县农作物种业发展政策、规划。负责农作物种质资源保护和管理。承担农作物种子(种苗)、食用菌种等监督管理职责。贯彻执行有关农作物种子的法律、法规和规章；编制农作物种子发展规划，组织实施农作物品种引进、区域试验、示范、繁育推广计划，发布信息；负责农作物品种管理；监督农作物种子生产、经营活动和种子质量；培训农作物种子专业技术人员和管理人员。组织抗灾救灾和救灾备荒种子的储备、调拨。指导种子基地、良繁体系建设。承担农业植物新品种保护工作。负责农产品产地冷链物流体系建设。</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20.</w:t>
      </w:r>
      <w:r>
        <w:rPr>
          <w:rFonts w:hint="eastAsia" w:ascii="仿宋_GB2312" w:hAnsi="仿宋" w:eastAsia="仿宋_GB2312" w:cs="仿宋_GB2312"/>
          <w:sz w:val="32"/>
          <w:szCs w:val="32"/>
          <w:lang w:val="en-US" w:eastAsia="zh-CN"/>
        </w:rPr>
        <w:t>负责农村能源建设和资源环境工作。指导农用地、农业生物物种资源及农产品产地环境保护和管理。提出划定农产品禁止生产区域的政策建议。指导农村可再生能源开发利用、节能减排、农业清洁生产和生态循环农业建设。承担外来农业物种管理有关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21.</w:t>
      </w:r>
      <w:r>
        <w:rPr>
          <w:rFonts w:hint="eastAsia" w:ascii="仿宋_GB2312" w:hAnsi="仿宋" w:eastAsia="仿宋_GB2312" w:cs="仿宋_GB2312"/>
          <w:sz w:val="32"/>
          <w:szCs w:val="32"/>
          <w:lang w:val="en-US" w:eastAsia="zh-CN"/>
        </w:rPr>
        <w:t>承担农作物病虫草鼠害的监测与综合防治、植保植检新技术、农药、药械新品种的引进、试验、示范、推广及培训；实施上级下达的植保植检技术推广项目；分析全县农作物病虫动态并及时采取预防措施；负责全县植物检疫工作，开展产地检疫、调运检疫、市场检疫及检疫性病虫调查、监测和防控工作；负责植保植检技术和农药、检疫法规的宣传培训、技术配套服务工作；负责农作物病虫预测预报、植保植检新技术开发、示范推广、建立防治专业队伍、防控重大流行性病虫害防治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22.</w:t>
      </w:r>
      <w:r>
        <w:rPr>
          <w:rFonts w:hint="eastAsia" w:ascii="仿宋_GB2312" w:hAnsi="仿宋" w:eastAsia="仿宋_GB2312" w:cs="仿宋_GB2312"/>
          <w:sz w:val="32"/>
          <w:szCs w:val="32"/>
          <w:lang w:val="en-US" w:eastAsia="zh-CN"/>
        </w:rPr>
        <w:t>承担耕地质量监测网络、数据平台建设，承担耕地质量 调查、监测与评价工作；承担科学施肥技术指导、咨询、试 验、示范与推广应用，开展农业节水技术推广工作；承担肥料登记、肥料质量监督抽查等监督管理工作；开展肥料新技术推广、风险监测等工作；负责土壤肥料技术推广体系建设。</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23.</w:t>
      </w:r>
      <w:r>
        <w:rPr>
          <w:rFonts w:hint="eastAsia" w:ascii="仿宋_GB2312" w:hAnsi="仿宋" w:eastAsia="仿宋_GB2312" w:cs="仿宋_GB2312"/>
          <w:sz w:val="32"/>
          <w:szCs w:val="32"/>
          <w:lang w:val="en-US" w:eastAsia="zh-CN"/>
        </w:rPr>
        <w:t>拟订经济作物发展的政策、规划、计划并组织实施。负责经济作物产业发展及其功能拓展工作；参与经济作物重大项目的论证、立项、审核。负责经济作物技术指导，开展经济作物新品种选育及优新品种引进、筛选、试验、示范和推广工作，承担经济作物检疫性有害生物、重大病虫害防治和防灾减灾工作。牵头粮食安全党政同责、非粮化、林长制、森林草原放灭火、种植业方面农业生产“三品一标”工作，负责种植园区建设管理工作</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24.协调烟草工业、商业做好相关工作。组织实施县级烟草扶持项目。</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25.</w:t>
      </w:r>
      <w:r>
        <w:rPr>
          <w:rFonts w:hint="eastAsia" w:ascii="仿宋_GB2312" w:hAnsi="仿宋" w:eastAsia="仿宋_GB2312" w:cs="仿宋_GB2312"/>
          <w:sz w:val="32"/>
          <w:szCs w:val="32"/>
          <w:lang w:val="en-US" w:eastAsia="zh-CN"/>
        </w:rPr>
        <w:t>负责全县农产品质量安全监督管理有关工作。负责农产 品质量安全监管体系、检验检测体系和信用体系建设。承担农产品质量安全标准、监测、追溯、风险评估等有关工作。负责农产品质量体系认证管理。牵头推进农业绿色发展有关工作，推动绿色、有机等优质农产品发展，承担培育地理标志农产品有关工作，建立地标农产品协同保护和产业培育体系。承担农产品品牌建设工作，拟订农产品品牌发展规划，组织开展农产品品牌培育、推广、监管、保护等有关工作。</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26.</w:t>
      </w:r>
      <w:r>
        <w:rPr>
          <w:rFonts w:hint="eastAsia" w:ascii="仿宋_GB2312" w:hAnsi="仿宋" w:eastAsia="仿宋_GB2312" w:cs="仿宋_GB2312"/>
          <w:sz w:val="32"/>
          <w:szCs w:val="32"/>
          <w:lang w:val="en-US" w:eastAsia="zh-CN"/>
        </w:rPr>
        <w:t>负责农产品质量追溯体系建设；负责农业标准化生产技术规程的制定和推广；负责开展农产品品牌“三品一标”农产品申报认证和证后管理及监督抽查工作；负责监督管理“三品一标”农产品标志使用。</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27.</w:t>
      </w:r>
      <w:r>
        <w:rPr>
          <w:rFonts w:hint="eastAsia" w:ascii="仿宋_GB2312" w:hAnsi="仿宋" w:eastAsia="仿宋_GB2312" w:cs="仿宋_GB2312"/>
          <w:sz w:val="32"/>
          <w:szCs w:val="32"/>
          <w:lang w:val="en-US" w:eastAsia="zh-CN"/>
        </w:rPr>
        <w:t>负责农产品(包括种植业产品、畜产品、水产品)、农业产地环境(包括土壤、灌溉水、环境空气)和农业投入品(农药)质量的监督检验测试，宣传贯彻技术标准，负责乡（镇）农产品质量安全检测站的技术指导和技术培训，农业生产组织、农产品流通组织的检测技术支持。</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28.</w:t>
      </w:r>
      <w:r>
        <w:rPr>
          <w:rFonts w:hint="eastAsia" w:ascii="仿宋_GB2312" w:hAnsi="仿宋" w:eastAsia="仿宋_GB2312" w:cs="仿宋_GB2312"/>
          <w:sz w:val="32"/>
          <w:szCs w:val="32"/>
          <w:lang w:val="en-US" w:eastAsia="zh-CN"/>
        </w:rPr>
        <w:t>编制全县农业农村经济信息体系、大宗农产品市场体系建设规划。承担农业农村信息化和数字乡村发展有关工作，提出项目建设和政策措施。组织开展农产品和农业生产资料供求、价格分析和监测预警。负责发布农业农村经济信息，指导农业信息服务。负责农产品产销对接和促消费有关工作，组织协调“菜篮子”工程有关工作。牵头开展全县农业和减贫领域对外合作工作，参与拟定农业对外开放政策和外向型农业发展规划，指导外向型农业发展。承担政府间农业和减贫领域涉外事务、经济技术交流与合作工作，协调管理与有关农业国际组织或机构合作交流事务。指导农产品出口基地建设。研究农业投资促进的有关政策，负责农业招商、经贸洽谈。提出农业产业化经营发展的政策建议，承担农业产业化重点龙头企业的认定和监测工作。组织开展农业会展活动。牵头信贷直通车、政企银担户工作。</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29.</w:t>
      </w:r>
      <w:r>
        <w:rPr>
          <w:rFonts w:hint="eastAsia" w:ascii="仿宋_GB2312" w:hAnsi="仿宋" w:eastAsia="仿宋_GB2312" w:cs="仿宋_GB2312"/>
          <w:sz w:val="32"/>
          <w:szCs w:val="32"/>
          <w:lang w:val="en-US" w:eastAsia="zh-CN"/>
        </w:rPr>
        <w:t>负责起草全县畜牧业发展规划和政策。开展畜牧(蜂)技术推广、示范、培训和畜牧生产技术规范指导，畜禽品种改良和遗传资源保护，种畜禽场站技术指导等工作。负责畜牧业方面政策性补贴兑付等工作。负责农作物秸秆等饲用饲料资源的开发与利用。指导饲草良种体系建设、标准化规模化生产和加工流通。起草全县畜禽种业发展政策、规划。组织实施畜禽遗传资源保护和管理，承担饲草良种、种畜禽等监督管理职责。负责畜牧业结构调整、规模化标准化养殖、畜禽粪污资源化利用。</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30.</w:t>
      </w:r>
      <w:r>
        <w:rPr>
          <w:rFonts w:hint="eastAsia" w:ascii="仿宋_GB2312" w:hAnsi="仿宋" w:eastAsia="仿宋_GB2312" w:cs="仿宋_GB2312"/>
          <w:sz w:val="32"/>
          <w:szCs w:val="32"/>
          <w:lang w:val="en-US" w:eastAsia="zh-CN"/>
        </w:rPr>
        <w:t>负责制定全县饲草产业、草牧业的技术研发、技术推广规划，提出草业发展重大技术进步措施建议。承担全县饲草产业、草牧业 发展的技术研究、科技支撑和推广服务工作。组织制订草业生产技术标准；负责草原科学放牧和打贮草利用、饲饲草产业基础设施建设、饲草良种体系建设、饲草标准化规模化生产、草产品加工流通的技术指导工作；开展饲草种质资源收集保护、饲草品种区域试验、种子质量抽检、饲草灾害防控、饲草业全产业链统计监测与效益评价工作；开展城乡草坪建植技术指导；负责草业技术推广体系建设。</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31.</w:t>
      </w:r>
      <w:r>
        <w:rPr>
          <w:rFonts w:hint="eastAsia" w:ascii="仿宋_GB2312" w:hAnsi="仿宋" w:eastAsia="仿宋_GB2312" w:cs="仿宋_GB2312"/>
          <w:sz w:val="32"/>
          <w:szCs w:val="32"/>
          <w:lang w:val="en-US" w:eastAsia="zh-CN"/>
        </w:rPr>
        <w:t>负责畜牧业生产、统计工作。牵头全县农业保险工作、农业农村水利环境保护、畜牧方面农业生产“三品一标”工作。负责畜牧园区建设管理工作。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32.</w:t>
      </w:r>
      <w:r>
        <w:rPr>
          <w:rFonts w:hint="eastAsia" w:ascii="仿宋_GB2312" w:hAnsi="仿宋" w:eastAsia="仿宋_GB2312" w:cs="仿宋_GB2312"/>
          <w:sz w:val="32"/>
          <w:szCs w:val="32"/>
          <w:lang w:val="en-US" w:eastAsia="zh-CN"/>
        </w:rPr>
        <w:t>组织贯彻落实《中华人民共和国动物防疫法》《重大动物疫情应急条例》等与动物疫病防控工作有关的法律法规；负责修订完善黑水县突发重大动物疫情应急预案，负责全县动物疫病的预防、控制、扑灭的防控策略与技术措施的制定和实施，动物疫病防控物资的组织与供应；负责制定并组织实施黑水县动物疫病强制免疫及地方流行性动物疫病免疫计划；承担动物疫病的实验室分离鉴定与分析、免疫抗体检测与分析评估；组织和实施全县动物疫病流行病学调查、疫情预警、预报及疫情报告；承担全县兽医新技术推广应用指导和兽医专业技术人员培训等工作；负责全县动物疫病监测系统和疫情信息系统的管理工作；负责执业兽医资格考试管理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33.组织实施县内动物疫病疫情防治防控和防灾减灾。拟订全县饲料及添加剂、兽药(渔药)及兽医器械行业发展规划、政策并组织实施。负责畜禽产地检疫监督管理和指导工作；负责畜禽屠宰行业管理，负责受理出省畜禽检疫和出证工作；负责全县官方兽医管理工作（包括驻屠宰场官方兽医）。</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34.负责水利水电工程移民与后扶管理、后续扶持、处置水利水电移民遗留问题等工作。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35.贯彻执行上级有关部门灌区运行管理方面的法律法规；负责统筹工程日常维护，组织工程大修和水毁修复；负责指导灌区属地乡、村对干、支管、蓄水、取水建筑物、田间管网的运行管理工作，做好技术服务工作；负责灌区干、支管、蓄水、取水建筑物、田间管网维修计划的收集、编制、上报和安全运行监督指导工作；负责灌区干、支管、蓄水、取水建筑物的日常巡检；负责协助有关部门做好灌区内水行政执法工作，制止侵占、破坏或毁损水利工程设施等违法行为；指导田间用水户合理制定用水计划；负责申报灌区节水改造项目；负责全县中型灌区申报和建设管理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36.负责指导农村水利工作，指导灌排工程建设与管理工作，组织实施大中型灌区渠系配套工程建设与改造。指导农村饮水安全工程建设管理工作、牧区水利工作、节水灌溉工作、农村水利社会化服务体系建设和已建农村供水工程的运行管理与除险加固工作负责水利体制改革的有关工作；负责黑水县水土保持委员会日常工作，负责州政府对县人民政府年度水土保持目标责任制考核，负责组织编制水土保持规划并监督实施，开展全县水土流失监测和水土流失消涨评价。组织实施全县水土流失综合防治和水土流失监测预报工作，参与权限内开发建设项目水土保持方案的审批工作，承担水土保持监督检查及水土保持设施自主验收的核查；指导水土保持建设项目的实施；承担水土保持补偿费征收管理。指导开展水土保持信息化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37.贯彻执行国家和省有关河湖保护、治理、管理工作的方针政策和法律法规。指导全县河湖水域岸线的管理保护和治理开发。指导河湖管理范围划定工作，指导岸线保护和利用规划。指导监督全县河道管理范围内采砂管理和河道疏浚工作，负责审查管理权限范围内的河道采砂规划和年度实施方案，监督指导河道管理范围内建设项目和有关活动，组织实施河道管理范围内建设项目工程行洪及涉河等方案的审查审批。承担黑水县河长制办公室具体工作，负责全面推行河长制湖长制工作，承担河长制湖长制工作的统筹指导、协调、监督考核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38.承担实施最严格水资源管理制度相关工作，参与开展水资源调查、评价有关工作，按规定参与水资源、水能资源调查评价和承载能力预警工作，参与编制水功能区划和指导入河排污口设置管理工作，组织编制并发布黑水县水资源公报。组织实施流域区域取用水总量控制，组织指导水量分配工作并监督实施，组织实施取水许可、水资源论证等制度。指导地下水开发利用和地下水资源管理保护，指导地下水超采区综合治理。指导河湖生态流量水量管理，以及河湖水系连通工作，指导河湖水生态保护与修复、河湖生态流量水量管理工作；承担县节约用水办公室日常管理工作，组织指导计划用水、节约用水工作，指导和推动节水型社会建设工作；组织实施用水总量控制、用水效率控制、计划用水和定额管理制度，参与跨区域跨流域水资源供需形势分析，提出水资源供需总量平衡的意见建议，指导地方开展水资源供需形势分析。指导水权制度建设，指导饮用水水源保护有关工作；协助开展依法治县和法治政府建设，负责水务普法工作，指导监管审核水事违法案件办理工作，落实法律顾问制度，承担水行政应诉、行政赔偿和行政调解工作。负责水利方面规范性文件的法规性审查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39.组织实施大中型水利工程、小型水库、中小河流治理等重大项目建设管理及验收，组织实施水系连通工程。指导水利工程建设质量、进度、造价管理和验收工作。指导水利行业工程设施的管理、保护与综合利用。负责水利建设项目法人责任制、建设监理制、招标投标制、合同管理制执行情况的监督管理。指导全县水利工程招投标管理工作，指导水利建设市场监督管理和信用体系建设。承担水利行业安全生产工作，负责全县河道水利工程质量和安全监管，指导河道水利安全事故的调查处理。牵头全局全域旅游示范县创建、河湖长制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40.组织编制水利综合规划、专业规划、专项规划及投资计划；组织水利基本建设可行性报告的编制、审查、报批工作；负责编制全县水利行业中长期规划和年度计划；组织指导水利基础设施网络建设，指导防洪工程建设管理，制定有关制度并组织实施。</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41.编制洪水干旱防治规划和重要江河湖泊和重要水工程的防御洪水抗御旱灾调度以及应急水量调度方案并组织实施；承担水情旱情预警工作；承担洪泛区和防洪保护区的洪水影响评价工作；组织制定县管江河防御洪水预案、洪水调度方案和重点地区的抗旱预案并监督实施;负责制定全县江河、重要水工程防御洪水预案和抗旱预案；承担防御洪水应急抢险的技术支撑。</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（三）人员概况。</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截至2025年末，黑水县农业农村水利和科技局核定编制139个(公务员14,参公46,事业73,行政工勤6),在编151人(公务员13人；参公38人，事业 95人，超编22人，行政工勤5人)。</w:t>
      </w:r>
    </w:p>
    <w:p>
      <w:pPr>
        <w:numPr>
          <w:ilvl w:val="0"/>
          <w:numId w:val="2"/>
        </w:num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部门财政资金收支情况</w:t>
      </w:r>
    </w:p>
    <w:p>
      <w:pPr>
        <w:numPr>
          <w:ilvl w:val="0"/>
          <w:numId w:val="3"/>
        </w:num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部门财政资金收入情况</w:t>
      </w:r>
      <w:r>
        <w:rPr>
          <w:rFonts w:hint="eastAsia" w:ascii="仿宋_GB2312" w:hAnsi="仿宋" w:eastAsia="仿宋_GB2312" w:cs="仿宋_GB2312"/>
          <w:sz w:val="32"/>
          <w:szCs w:val="32"/>
          <w:lang w:eastAsia="zh-CN"/>
        </w:rPr>
        <w:t>。</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2025年度部门财政资金总收入23548.63万元，其中一般公共预算财政拨款收入21307.83万元；政府性基金预算财政拨款收入2240.8万元。具体为：</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科学技术支出为104.31万元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社会保障和就业支出为</w:t>
      </w:r>
      <w:r>
        <w:rPr>
          <w:rFonts w:hint="eastAsia" w:ascii="仿宋_GB2312" w:hAnsi="仿宋" w:eastAsia="仿宋_GB2312" w:cs="仿宋_GB2312"/>
          <w:sz w:val="32"/>
          <w:szCs w:val="32"/>
          <w:lang w:val="en-US" w:eastAsia="zh-CN"/>
        </w:rPr>
        <w:t>295.65</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卫生健康支出为</w:t>
      </w:r>
      <w:r>
        <w:rPr>
          <w:rFonts w:hint="eastAsia" w:ascii="仿宋_GB2312" w:hAnsi="仿宋" w:eastAsia="仿宋_GB2312" w:cs="仿宋_GB2312"/>
          <w:sz w:val="32"/>
          <w:szCs w:val="32"/>
          <w:lang w:val="en-US" w:eastAsia="zh-CN"/>
        </w:rPr>
        <w:t>134.14</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节能环保支出170.61万元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住房保障支出为</w:t>
      </w:r>
      <w:r>
        <w:rPr>
          <w:rFonts w:hint="eastAsia" w:ascii="仿宋_GB2312" w:hAnsi="仿宋" w:eastAsia="仿宋_GB2312" w:cs="仿宋_GB2312"/>
          <w:sz w:val="32"/>
          <w:szCs w:val="32"/>
          <w:lang w:val="en-US" w:eastAsia="zh-CN"/>
        </w:rPr>
        <w:t>166.27</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农林水支出为</w:t>
      </w:r>
      <w:r>
        <w:rPr>
          <w:rFonts w:hint="eastAsia" w:ascii="仿宋_GB2312" w:hAnsi="仿宋" w:eastAsia="仿宋_GB2312" w:cs="仿宋_GB2312"/>
          <w:sz w:val="32"/>
          <w:szCs w:val="32"/>
          <w:lang w:val="en-US" w:eastAsia="zh-CN"/>
        </w:rPr>
        <w:t>19623.16</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其他支出1074.66万元</w:t>
      </w:r>
    </w:p>
    <w:p>
      <w:pPr>
        <w:numPr>
          <w:ilvl w:val="0"/>
          <w:numId w:val="3"/>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2025年度部门财政资金总支出23548.63万元，其中基本支出3877.31万元，项目支出19671.32万元。具体为：</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科学技术支出为104.31万元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社会保障和就业支出为</w:t>
      </w:r>
      <w:r>
        <w:rPr>
          <w:rFonts w:hint="eastAsia" w:ascii="仿宋_GB2312" w:hAnsi="仿宋" w:eastAsia="仿宋_GB2312" w:cs="仿宋_GB2312"/>
          <w:sz w:val="32"/>
          <w:szCs w:val="32"/>
          <w:lang w:val="en-US" w:eastAsia="zh-CN"/>
        </w:rPr>
        <w:t>295.65</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卫生健康支出为</w:t>
      </w:r>
      <w:r>
        <w:rPr>
          <w:rFonts w:hint="eastAsia" w:ascii="仿宋_GB2312" w:hAnsi="仿宋" w:eastAsia="仿宋_GB2312" w:cs="仿宋_GB2312"/>
          <w:sz w:val="32"/>
          <w:szCs w:val="32"/>
          <w:lang w:val="en-US" w:eastAsia="zh-CN"/>
        </w:rPr>
        <w:t>134.14</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节能环保支出170.61万元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住房保障支出为</w:t>
      </w:r>
      <w:r>
        <w:rPr>
          <w:rFonts w:hint="eastAsia" w:ascii="仿宋_GB2312" w:hAnsi="仿宋" w:eastAsia="仿宋_GB2312" w:cs="仿宋_GB2312"/>
          <w:sz w:val="32"/>
          <w:szCs w:val="32"/>
          <w:lang w:val="en-US" w:eastAsia="zh-CN"/>
        </w:rPr>
        <w:t>166.27</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农林水支出为</w:t>
      </w:r>
      <w:r>
        <w:rPr>
          <w:rFonts w:hint="eastAsia" w:ascii="仿宋_GB2312" w:hAnsi="仿宋" w:eastAsia="仿宋_GB2312" w:cs="仿宋_GB2312"/>
          <w:sz w:val="32"/>
          <w:szCs w:val="32"/>
          <w:lang w:val="en-US" w:eastAsia="zh-CN"/>
        </w:rPr>
        <w:t>19623.16</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其他支出1074.66万元</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绩效目标制定：预算编制阶段，立足</w:t>
      </w:r>
      <w:r>
        <w:rPr>
          <w:rFonts w:hint="eastAsia" w:ascii="仿宋_GB2312" w:hAnsi="仿宋" w:eastAsia="仿宋_GB2312" w:cs="仿宋_GB2312"/>
          <w:sz w:val="32"/>
          <w:szCs w:val="32"/>
          <w:lang w:val="en-US" w:eastAsia="zh-CN"/>
        </w:rPr>
        <w:t>本地区</w:t>
      </w:r>
      <w:r>
        <w:rPr>
          <w:rFonts w:hint="default" w:ascii="仿宋_GB2312" w:hAnsi="仿宋" w:eastAsia="仿宋_GB2312" w:cs="仿宋_GB2312"/>
          <w:sz w:val="32"/>
          <w:szCs w:val="32"/>
          <w:lang w:val="en-US" w:eastAsia="zh-CN"/>
        </w:rPr>
        <w:t>工作特点，结合本部门年度职能任务、下乡调研督导、基层业务推进等实际工作，科学设置部门整体及项目绩效目标，细化产出、效益、满意度指标，做到绩效目标与部门履职、年度重点工作相匹配，开展事前绩效评估，做到 “无绩效不预算”</w:t>
      </w:r>
      <w:r>
        <w:rPr>
          <w:rFonts w:hint="eastAsia" w:ascii="仿宋_GB2312" w:hAnsi="仿宋" w:eastAsia="仿宋_GB2312" w:cs="仿宋_GB2312"/>
          <w:sz w:val="32"/>
          <w:szCs w:val="32"/>
          <w:lang w:val="en-US" w:eastAsia="zh-CN"/>
        </w:rPr>
        <w:t>。</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目标完成：年度内基本完成既定整体绩效目标，保障机关正常运转、基层业务开展、公务出行、下乡督导等工作落地，各项业务工作有序推进；受高原地域条件、项目实施客观因素影响，个别细分指标存在小幅偏差。</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预算编制准确：严格依据人员情况、业务需求、历年执行情况科学编报部门预算，落实 “过紧日子”要求，压减非刚性、非重点支出；因</w:t>
      </w:r>
      <w:r>
        <w:rPr>
          <w:rFonts w:hint="eastAsia" w:ascii="仿宋_GB2312" w:hAnsi="仿宋" w:eastAsia="仿宋_GB2312" w:cs="仿宋_GB2312"/>
          <w:sz w:val="32"/>
          <w:szCs w:val="32"/>
          <w:lang w:val="en-US" w:eastAsia="zh-CN"/>
        </w:rPr>
        <w:t>本</w:t>
      </w:r>
      <w:r>
        <w:rPr>
          <w:rFonts w:hint="default" w:ascii="仿宋_GB2312" w:hAnsi="仿宋" w:eastAsia="仿宋_GB2312" w:cs="仿宋_GB2312"/>
          <w:sz w:val="32"/>
          <w:szCs w:val="32"/>
          <w:lang w:val="en-US" w:eastAsia="zh-CN"/>
        </w:rPr>
        <w:t>县部分工作任务年中新增、上级政策下达、基层应急任务等客观因素，存在少量预算调剂情况，整体预算编制质量较好。</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支出控制：严格执行财经制度，严控“三公”经费及一般性支出，规范公务用车运行维护、差旅下乡等经费开支，强化经费审核把关，杜绝无预算、超预算支出，厉行节约保障重点履职支出。</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预算动态调整：执行过程中结合上级下达任务、县域工作实际、项目实施条件，按照财政规定程序开展预算调剂、动态调整，保障乡村振兴、基层业务、应急处置等重点工作资金需求，调剂流程合规完整。</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执行进度：紧盯预算执行时序进度，常态化开展内部绩效监控，加快人员经费、公用经费拨付，对业务项目资金督促加快实施；受高原气候、施工窗口期短、基层项目落地周期长等客观条件，部分项目资金执行进度阶段性滞后，通过定期梳理、督促推进，年末总体执行趋于合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预算完成情况：部门财政拨款资金总体完成较好，基本支出保障到位；部分项目受高原环境、项目前期、群众协调等因素影响，存在少量结转结余，按财政结转结余资金管理规定处置。</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违规记录：本年度部门预算管理无重大财政违法违规记录，对日常监控发现的细小管理问题及时完成整改落实。</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（二）专项预算管理。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包括专项预算项目程序严密、规划合理、结果符合、分配科学、分配及时、专项预算绩效目标完成、实施绩效、违规记录等情况。</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专项预算项目</w:t>
      </w:r>
      <w:r>
        <w:rPr>
          <w:rFonts w:hint="default" w:ascii="仿宋_GB2312" w:hAnsi="仿宋" w:eastAsia="仿宋_GB2312" w:cs="仿宋_GB2312"/>
          <w:sz w:val="32"/>
          <w:szCs w:val="32"/>
          <w:lang w:val="en-US" w:eastAsia="zh-CN"/>
        </w:rPr>
        <w:t>程序严密：各类专项项目严格履行立项申报、事前绩效评估、集体研究等程序，对接乡村振兴、特色产业、民生保障、高标准农田等重点工作，项目申报、审批流程完整，资料归档规范，严格执行专项资金管理办法。</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规划合理：专项项目规划紧密贴合阿坝州、黑水县县域发展规划，立足高原实际，重点投向基层基础设施、产业培育、民生服务、基层治理等领域，充分考虑高寒地区施工条件、实施周期，项目规划与本地现实需求相适配。</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结果符合：大部分专项项目按实施方案推进落地，项目产出基本达到预期，较好服务黑水县经济社会发展；少数项目受气候条件、客观环境制约，实施周期有所延后，项目实施内容与申报方案总体保持一致。</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分配科学：专项资金分配坚持突出重点、兼顾均衡，向乡镇基层、重点领域倾斜，结合工作任务量、地域实际测算分配资金，资金分配依据充分，不存在随意分配情况。</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分配及时：收到上级专项资金后，按财政要求及时分解下达，加快资金拨付，保障基层工作开展；部分项目需完成前期要件、实施方案报批后拨付，存在少量时间差。</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专项预算绩效目标完成：专项项目绩效目标基本落地，在产业发展、基础设施改善、群众生产生活保障等方面取得社会效益；个别项目受客观条件影响，部分绩效指标未完全达成。</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实施绩效：专项资金总体发挥效益，有力支撑黑水县</w:t>
      </w:r>
      <w:bookmarkStart w:id="1" w:name="_GoBack"/>
      <w:bookmarkEnd w:id="1"/>
      <w:r>
        <w:rPr>
          <w:rFonts w:hint="default" w:ascii="仿宋_GB2312" w:hAnsi="仿宋" w:eastAsia="仿宋_GB2312" w:cs="仿宋_GB2312"/>
          <w:sz w:val="32"/>
          <w:szCs w:val="32"/>
          <w:lang w:val="en-US" w:eastAsia="zh-CN"/>
        </w:rPr>
        <w:t>产业发展、基层履职、惠民政策落地，联农带农效果显现，服务县域巩固拓展脱贫攻坚成果同乡村振兴有效衔接；部分项目还存在绩效精细化管理有待提升的空间。</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违规记录：专项预算管理无挤占挪用、截留套取资金等重大违规记录，对绩效监控发现的管理短板建立台账，逐项整改完善。</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（三）结果应用情况。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本单位严格落实预算绩效管理相关工作要求，扎实做好部门绩效自评、信息公开、问题整改、结果反馈运用等全流程工作，切实发挥绩效评价对预算管理的约束导向作用。</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一、部门自评质量情况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严格按照财政部门绩效评价工作规范组织开展部门绩效自评工作，明确业务、财务岗位分工，以项目实际执行成效为基础，对照设定的绩效指标逐项核实佐证资料，客观填报指标完成情况，如实反映工作成效与存在短板。自评过程做到数据有据可查、评价依据充分，杜绝高估成效、虚填完成值等情况。同时开展内部复核校验，对自评表、佐证材料进行审核把关，提升绩效自评报告完整性、真实性，保障部门绩效自评整体质量。</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二、绩效目标公开和自评公开情况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按照政务公开及预算绩效管理公开要求，依法依规推进绩效信息公开。一是在部门预算公开环节同步公开年度绩效目标，将整体绩效目标、各项目绩效指标向社会公开，主动接受社会监督；二是随部门决算同步公开绩效自评结果，公开内容包含项目执行情况、绩效完成情况、存在问题等核心内容，做到绩效目标、自评结果应公开尽公开，提升预算管理透明度。</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三、评价结果整改情况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针对绩效自评、财政绩效评价过程中发现的绩效指标设置不够科学、项目推进进度滞后、部分产出效益未达预期等问题，建立问题整改台账，逐项列明问题清单、整改举措、责任岗位和完成时限。坚持问题导向，逐项落实整改销号，补齐项目管理短板，优化绩效指标设置，规范项目实施流程，强化过程管控，做到发现一处、整改一处，切实把评价发现问题整改落地见效。</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四、应用结果反馈情况</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充分运用绩效评价结果，建立评价结果反馈运用机制。将绩效评价结果作为下一年度预算编制、项目取舍、资金分配的重要参考依据，对实施成效好的项目予以优先保障；对绩效偏弱的项目优化调整实施内容，压减低效无效资金。同时将评价结果反馈业务科室，用于优化项目管理、完善管理制度，实现 “评价 — 整改 — 提升” 闭环管理，不断提高财政资金使用效益。</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四、评价结论及建议</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（一）评价结论。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本年度，本单位严格执行《中华人民共和国预算法》《预算绩效管理办法》等相关规定，全面统筹农业农村、水利建设、农业科技推广三大核心职能，规范部门整体预算编制、资金拨付、支出管控、项目实施及决算管理全过程工作。部门整体收支基本合规，预算执行总体平稳，财政资金保障有力、运行规范，无违规挤占、挪用、截留财政资金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年度财政资金投入，有效保障了乡村产业发展、高标准农田建设、农田水利设施管护、防汛抗旱、水资源治理、农业新品种新技术推广、科技惠农服务、农村人居环境提升等重点工作有序开展。部门履职到位，公共服务保障能力持续增强，农业农村基础设施短板持续补齐，农业科技赋能水平稳步提升，水利安全保障体系更加完善，整体支出社会效益、民生效益、生态效益较为显著。</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同时，本单位全面落实预算绩效管理要求，顺利完成年度绩效目标编制、绩效运行监控、部门整体支出绩效自评、绩效信息决算公开等工作，自评数据真实、依据充分、流程规范，整体支出绩效水平较好，预算管理规范化、精细化水平稳步提升。</w:t>
      </w:r>
    </w:p>
    <w:p>
      <w:pPr>
        <w:numPr>
          <w:ilvl w:val="0"/>
          <w:numId w:val="0"/>
        </w:numPr>
        <w:spacing w:line="580" w:lineRule="exact"/>
        <w:ind w:left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（二）存在问题。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结合本年度部门整体支出执行情况、全过程绩效管理及履职成效综合分析，本单位整体预算绩效管理工作虽总体规范，但对照财政精细化管理、全面绩效管理高标准要求，仍存在部分短板和薄弱环节。</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 部门整体预算执行均衡性有待提升。本单位业务涵盖农业生产、水利工程、科技服务等季节性、阶段性较强的工作领域，受农事周期、汛期管控、工程施工条件、项目招投标、前期手续办理等因素影响，部分专项支出集中在下半年列支，全年预算执行节奏不均衡，少量资金存在年度结转情况，整体资金使用效率仍有提升空间。</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 整体绩效目标编制精细化不足。部门整体支出绩效指标体系仍偏宏观，部分共性指标、效益类指标量化不够精准，针对农业产业提质、水利长效管护、科技成果转化等长期性、普惠性工作的绩效指标设置不够细化，对履职成效的精准评价支撑不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 全过程绩效管控力度仍需加强。日常管理中仍存在“重预算、重项目、轻绩效、轻过程”的惯性思维，绩效运行动态监控不够常态化，对预算执行偏差、项目推进滞后、指标完成进度不均等问题预警、纠偏不够及时，全过程绩效管理的约束作用未能完全发挥。</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 绩效评价结果应用机制不够完善。部门整体绩效评价结果与年度预算编制、资金结构优化、重点工作安排的联动机制不够紧密，对低效支出、薄弱工作板块的优化调整力度不足，绩效评价“以评促改、以评促管、以评提效”的作用发挥不够充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5. 基层履职服务与资金效益匹配度有待提升。农业技术推广、水利设施日常管护、农村科技服务覆盖面广、任务繁重，基层工作力量相对薄弱，部分惠民服务、技术指导、设施管护精细化程度不足，财政资金的长效赋能效益未能完全释放。</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（三）改进建议。</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针对本次部门整体支出绩效评价发现的问题，结合本单位农业、畜牧、水利、科技、农工办工作职责实际，立足补短板、强弱项、提效能，制定长效改进措施，持续提升部门整体预算管理和履职服务水平。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 强化预算统筹调度，提升资金执行均衡性。强化年度预算前瞻性谋划，结合农业时令、水利施工、科技推广工作规律，科学制定年度资金使用和项目推进计划。建立月度预算执行调度、季度分析研判机制，及时疏通项目推进、资金拨付堵点，加快存量资金盘活使用，严控资金结转结余，全面提升部门整体财政资金使用效率。</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 优化整体绩效指标体系，提升绩效管理精准度。结合部门整体履职职能，细化完善整体支出绩效指标框架，细化产出指标、效益指标、满意度指标，重点完善农业产业发展、水利安全保障、农业科技转化、乡村民生改善等量化、可考核指标，提升绩效目标编制科学性、精准性，夯实整体绩效评价工作基础。</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 压实全过程绩效管理，强化动态监管纠偏。牢固树立“绩效为先、全程管控”的管理理念，压实各业务科室、财务岗位绩效管理责任，健全事前目标审核、事中动态监控、事后评价整改的全链条管理机制。常态化开展绩效运行监控，对预算执行缓慢、指标完成滞后的工作事项及时预警、督促整改，切实杜绝重申报、轻管理、轻成效的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 健全结果应用机制，实现绩效闭环管理。建立部门整体绩效评价结果与预算编制、资金分配、项目安排、年度考核深度挂钩机制，将年度绩效评价问题整改情况作为下一年度预算安排的重要依据。对绩效成效突出的领域优先保障，对绩效薄弱环节重点整改、优化财政支出结构，形成“评价—整改—优化—提升”的绩效管理闭环。</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5. 夯实基层服务基础，放大财政资金履职效益。持续加强基层农业、水利、科技服务队伍建设，常态化开展业务技能培训，提升基层履职专业化水平。优化惠农服务、设施管护、科技推广工作模式，补齐基层服务短板，推动财政资金精准赋能乡村振兴、农业提质增效、水利安全保障和农业科技进步，持续提升部门整体履职效能和公共服务水平。</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D9A737"/>
    <w:multiLevelType w:val="singleLevel"/>
    <w:tmpl w:val="BFD9A737"/>
    <w:lvl w:ilvl="0" w:tentative="0">
      <w:start w:val="2"/>
      <w:numFmt w:val="chineseCounting"/>
      <w:suff w:val="nothing"/>
      <w:lvlText w:val="%1、"/>
      <w:lvlJc w:val="left"/>
      <w:rPr>
        <w:rFonts w:hint="eastAsia"/>
      </w:rPr>
    </w:lvl>
  </w:abstractNum>
  <w:abstractNum w:abstractNumId="1">
    <w:nsid w:val="BFF62DDB"/>
    <w:multiLevelType w:val="singleLevel"/>
    <w:tmpl w:val="BFF62DDB"/>
    <w:lvl w:ilvl="0" w:tentative="0">
      <w:start w:val="2"/>
      <w:numFmt w:val="chineseCounting"/>
      <w:suff w:val="nothing"/>
      <w:lvlText w:val="（%1）"/>
      <w:lvlJc w:val="left"/>
      <w:rPr>
        <w:rFonts w:hint="eastAsia"/>
      </w:rPr>
    </w:lvl>
  </w:abstractNum>
  <w:abstractNum w:abstractNumId="2">
    <w:nsid w:val="503AE665"/>
    <w:multiLevelType w:val="singleLevel"/>
    <w:tmpl w:val="503AE665"/>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3YTA0YWU3OWRkODMxNTBhNmMyM2RlYzc5MWIxNjgifQ=="/>
  </w:docVars>
  <w:rsids>
    <w:rsidRoot w:val="00491B22"/>
    <w:rsid w:val="00291808"/>
    <w:rsid w:val="00491B22"/>
    <w:rsid w:val="0052390C"/>
    <w:rsid w:val="0858452E"/>
    <w:rsid w:val="11EDC54D"/>
    <w:rsid w:val="135DF01C"/>
    <w:rsid w:val="173DA4D2"/>
    <w:rsid w:val="17DE9D7E"/>
    <w:rsid w:val="1F6BE872"/>
    <w:rsid w:val="1FF6E93C"/>
    <w:rsid w:val="1FFF5369"/>
    <w:rsid w:val="28FB5222"/>
    <w:rsid w:val="2AF1CC3D"/>
    <w:rsid w:val="2BBFF01B"/>
    <w:rsid w:val="2E3F9632"/>
    <w:rsid w:val="34EB1F43"/>
    <w:rsid w:val="36435EC2"/>
    <w:rsid w:val="37E79E77"/>
    <w:rsid w:val="3957DC08"/>
    <w:rsid w:val="3B7FE20A"/>
    <w:rsid w:val="3E7F72F5"/>
    <w:rsid w:val="3EDF7248"/>
    <w:rsid w:val="3FE52D7D"/>
    <w:rsid w:val="3FE833A8"/>
    <w:rsid w:val="3FFE4EF3"/>
    <w:rsid w:val="3FFFA8E1"/>
    <w:rsid w:val="43EB7E23"/>
    <w:rsid w:val="4DD97D2F"/>
    <w:rsid w:val="4FB78A3F"/>
    <w:rsid w:val="536E6A2C"/>
    <w:rsid w:val="539F6369"/>
    <w:rsid w:val="54FA0B8D"/>
    <w:rsid w:val="55BBF401"/>
    <w:rsid w:val="55DBAB65"/>
    <w:rsid w:val="59F33E5E"/>
    <w:rsid w:val="5E9E1669"/>
    <w:rsid w:val="5EA997DC"/>
    <w:rsid w:val="60D032A5"/>
    <w:rsid w:val="65D7778B"/>
    <w:rsid w:val="66EF4E8D"/>
    <w:rsid w:val="6716E168"/>
    <w:rsid w:val="6A6EB504"/>
    <w:rsid w:val="6AF1D802"/>
    <w:rsid w:val="6DEB6F46"/>
    <w:rsid w:val="6DFF0105"/>
    <w:rsid w:val="6E97DC86"/>
    <w:rsid w:val="6EBE9E83"/>
    <w:rsid w:val="6EFFC361"/>
    <w:rsid w:val="7079109E"/>
    <w:rsid w:val="727FC647"/>
    <w:rsid w:val="75BB2D18"/>
    <w:rsid w:val="7657550A"/>
    <w:rsid w:val="76F97FCD"/>
    <w:rsid w:val="76FBA739"/>
    <w:rsid w:val="77969DE3"/>
    <w:rsid w:val="77FAF8DB"/>
    <w:rsid w:val="78FFF2E4"/>
    <w:rsid w:val="79FE27CA"/>
    <w:rsid w:val="7B6BED3D"/>
    <w:rsid w:val="7B7BCD0B"/>
    <w:rsid w:val="7B97A12C"/>
    <w:rsid w:val="7BEF646D"/>
    <w:rsid w:val="7CF45B50"/>
    <w:rsid w:val="7D7F9CBE"/>
    <w:rsid w:val="7D7FC165"/>
    <w:rsid w:val="7E7F851C"/>
    <w:rsid w:val="7EFF0D2F"/>
    <w:rsid w:val="7F47A7BE"/>
    <w:rsid w:val="7F7B0CC4"/>
    <w:rsid w:val="7FA9C90A"/>
    <w:rsid w:val="7FBC09F0"/>
    <w:rsid w:val="7FBF2BC0"/>
    <w:rsid w:val="7FD5128D"/>
    <w:rsid w:val="A2FB4C42"/>
    <w:rsid w:val="AF5E2402"/>
    <w:rsid w:val="AFFA86D4"/>
    <w:rsid w:val="B5074C1E"/>
    <w:rsid w:val="B57E050D"/>
    <w:rsid w:val="B7DF7766"/>
    <w:rsid w:val="BEDDB280"/>
    <w:rsid w:val="BF72297B"/>
    <w:rsid w:val="BF86EC42"/>
    <w:rsid w:val="BFBB7FB6"/>
    <w:rsid w:val="C2DF1F2E"/>
    <w:rsid w:val="C2FBFE6C"/>
    <w:rsid w:val="C5F721BD"/>
    <w:rsid w:val="C65ABA9D"/>
    <w:rsid w:val="CDA72E62"/>
    <w:rsid w:val="CDDF3C89"/>
    <w:rsid w:val="CF7D269F"/>
    <w:rsid w:val="D3BF1B64"/>
    <w:rsid w:val="D7F99172"/>
    <w:rsid w:val="D9FF3E46"/>
    <w:rsid w:val="DBFCA255"/>
    <w:rsid w:val="DFB7E8DE"/>
    <w:rsid w:val="DFF601E0"/>
    <w:rsid w:val="E1BBF5D4"/>
    <w:rsid w:val="E3FC56EC"/>
    <w:rsid w:val="E7F74827"/>
    <w:rsid w:val="E9FB535D"/>
    <w:rsid w:val="EDFD6019"/>
    <w:rsid w:val="EE373A52"/>
    <w:rsid w:val="EE7F44A0"/>
    <w:rsid w:val="EEF93C87"/>
    <w:rsid w:val="EEFBC916"/>
    <w:rsid w:val="EF460626"/>
    <w:rsid w:val="EF7E0013"/>
    <w:rsid w:val="EF95E86B"/>
    <w:rsid w:val="EFDF559F"/>
    <w:rsid w:val="EFF3566A"/>
    <w:rsid w:val="F3AF92A4"/>
    <w:rsid w:val="F3FFF9F9"/>
    <w:rsid w:val="F5FB4061"/>
    <w:rsid w:val="F6BFDB14"/>
    <w:rsid w:val="F76DCCC7"/>
    <w:rsid w:val="F7FB39CD"/>
    <w:rsid w:val="F9B0ED61"/>
    <w:rsid w:val="FA7B60C5"/>
    <w:rsid w:val="FAFFBD35"/>
    <w:rsid w:val="FB6F8EC6"/>
    <w:rsid w:val="FBC390EB"/>
    <w:rsid w:val="FBDF195F"/>
    <w:rsid w:val="FDBDC53B"/>
    <w:rsid w:val="FE7F5F12"/>
    <w:rsid w:val="FEFF6D37"/>
    <w:rsid w:val="FF3F6F8A"/>
    <w:rsid w:val="FF57AD22"/>
    <w:rsid w:val="FF9EA26B"/>
    <w:rsid w:val="FFB2CA72"/>
    <w:rsid w:val="FFDDE402"/>
    <w:rsid w:val="FFFF21B0"/>
    <w:rsid w:val="FFFFA1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Strong"/>
    <w:basedOn w:val="6"/>
    <w:qFormat/>
    <w:uiPriority w:val="22"/>
    <w:rPr>
      <w:b/>
    </w:rPr>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24</Pages>
  <Words>12943</Words>
  <Characters>13173</Characters>
  <Lines>2</Lines>
  <Paragraphs>1</Paragraphs>
  <TotalTime>49</TotalTime>
  <ScaleCrop>false</ScaleCrop>
  <LinksUpToDate>false</LinksUpToDate>
  <CharactersWithSpaces>13202</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2019-08-21T09:06:00Z</dcterms:created>
  <dc:creator>Sky123.Org</dc:creator>
  <cp:lastModifiedBy>user</cp:lastModifiedBy>
  <dcterms:modified xsi:type="dcterms:W3CDTF">2026-09-22T11:39:53Z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2EEEC359BE979935F2857E6A325122E7_43</vt:lpwstr>
  </property>
</Properties>
</file>