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80" w:lineRule="exact"/>
        <w:jc w:val="center"/>
        <w:rPr>
          <w:rFonts w:hint="eastAsia" w:ascii="仿宋_GB2312" w:hAnsi="黑体" w:eastAsia="仿宋_GB2312" w:cs="方正小标宋简体"/>
          <w:b/>
          <w:sz w:val="32"/>
          <w:szCs w:val="32"/>
          <w:lang w:val="en-US" w:eastAsia="zh-CN"/>
        </w:rPr>
      </w:pPr>
      <w:r>
        <w:rPr>
          <w:rFonts w:hint="eastAsia" w:ascii="仿宋_GB2312" w:hAnsi="黑体" w:eastAsia="仿宋_GB2312" w:cs="方正小标宋简体"/>
          <w:b/>
          <w:sz w:val="32"/>
          <w:szCs w:val="32"/>
          <w:lang w:val="en-US" w:eastAsia="zh-CN"/>
        </w:rPr>
        <w:t>黑水县2025年种粮大户补贴项目</w:t>
      </w:r>
    </w:p>
    <w:p>
      <w:pPr>
        <w:spacing w:line="580" w:lineRule="exact"/>
        <w:jc w:val="center"/>
        <w:rPr>
          <w:rFonts w:ascii="仿宋_GB2312" w:hAnsi="黑体" w:eastAsia="仿宋_GB2312" w:cs="方正小标宋简体"/>
          <w:b/>
          <w:sz w:val="32"/>
          <w:szCs w:val="32"/>
        </w:rPr>
      </w:pPr>
      <w:r>
        <w:rPr>
          <w:rFonts w:hint="eastAsia" w:ascii="仿宋_GB2312" w:hAnsi="黑体" w:eastAsia="仿宋_GB2312" w:cs="方正小标宋简体"/>
          <w:b/>
          <w:sz w:val="32"/>
          <w:szCs w:val="32"/>
        </w:rPr>
        <w:t>支出绩效评价报告</w:t>
      </w:r>
    </w:p>
    <w:p>
      <w:pPr>
        <w:spacing w:line="58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</w:p>
    <w:p>
      <w:pPr>
        <w:spacing w:line="580" w:lineRule="exact"/>
        <w:ind w:firstLine="640" w:firstLineChars="200"/>
        <w:rPr>
          <w:rFonts w:ascii="仿宋_GB2312" w:hAnsi="仿宋" w:eastAsia="仿宋_GB2312" w:cs="仿宋_GB2312"/>
          <w:sz w:val="32"/>
          <w:szCs w:val="32"/>
        </w:rPr>
      </w:pPr>
      <w:r>
        <w:rPr>
          <w:rFonts w:hint="eastAsia" w:ascii="仿宋_GB2312" w:hAnsi="仿宋" w:eastAsia="仿宋_GB2312" w:cs="仿宋_GB2312"/>
          <w:sz w:val="32"/>
          <w:szCs w:val="32"/>
        </w:rPr>
        <w:t>一、评价工作开展及项目情况</w:t>
      </w:r>
    </w:p>
    <w:p>
      <w:pPr>
        <w:spacing w:line="580" w:lineRule="exact"/>
        <w:ind w:firstLine="640" w:firstLineChars="200"/>
        <w:rPr>
          <w:rFonts w:hint="eastAsia" w:ascii="仿宋_GB2312" w:hAnsi="仿宋" w:eastAsia="仿宋_GB2312" w:cs="仿宋_GB2312"/>
          <w:sz w:val="32"/>
          <w:szCs w:val="32"/>
          <w:lang w:val="zh-CN"/>
        </w:rPr>
      </w:pPr>
      <w:r>
        <w:rPr>
          <w:rFonts w:hint="eastAsia" w:ascii="仿宋_GB2312" w:hAnsi="仿宋" w:eastAsia="仿宋_GB2312" w:cs="仿宋_GB2312"/>
          <w:sz w:val="32"/>
          <w:szCs w:val="32"/>
          <w:lang w:val="zh-CN"/>
        </w:rPr>
        <w:t>（一）评价目的。</w:t>
      </w:r>
    </w:p>
    <w:p>
      <w:pPr>
        <w:spacing w:line="580" w:lineRule="exact"/>
        <w:ind w:firstLine="640" w:firstLineChars="200"/>
        <w:rPr>
          <w:rFonts w:hint="eastAsia" w:ascii="仿宋_GB2312" w:hAnsi="仿宋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" w:eastAsia="仿宋_GB2312" w:cs="仿宋_GB2312"/>
          <w:sz w:val="32"/>
          <w:szCs w:val="32"/>
        </w:rPr>
        <w:t>深入贯彻落实</w:t>
      </w:r>
      <w:r>
        <w:rPr>
          <w:rFonts w:hint="eastAsia" w:ascii="仿宋_GB2312" w:hAnsi="仿宋" w:eastAsia="仿宋_GB2312" w:cs="仿宋_GB2312"/>
          <w:sz w:val="32"/>
          <w:szCs w:val="32"/>
          <w:lang w:val="en-US" w:eastAsia="zh-CN"/>
        </w:rPr>
        <w:t>上级部门</w:t>
      </w:r>
      <w:r>
        <w:rPr>
          <w:rFonts w:hint="eastAsia" w:ascii="仿宋_GB2312" w:hAnsi="仿宋" w:eastAsia="仿宋_GB2312" w:cs="仿宋_GB2312"/>
          <w:sz w:val="32"/>
          <w:szCs w:val="32"/>
        </w:rPr>
        <w:t>关于全面实施预算绩效管理的决策部署，进一步强化</w:t>
      </w:r>
      <w:r>
        <w:rPr>
          <w:rFonts w:hint="eastAsia" w:ascii="仿宋_GB2312" w:hAnsi="仿宋" w:eastAsia="仿宋_GB2312" w:cs="仿宋_GB2312"/>
          <w:sz w:val="32"/>
          <w:szCs w:val="32"/>
          <w:lang w:val="en-US" w:eastAsia="zh-CN"/>
        </w:rPr>
        <w:t>各项目承担单位</w:t>
      </w:r>
      <w:r>
        <w:rPr>
          <w:rFonts w:hint="eastAsia" w:ascii="仿宋_GB2312" w:hAnsi="仿宋" w:eastAsia="仿宋_GB2312" w:cs="仿宋_GB2312"/>
          <w:sz w:val="32"/>
          <w:szCs w:val="32"/>
        </w:rPr>
        <w:t>预算绩效管理主体责任和绩效理念</w:t>
      </w:r>
      <w:r>
        <w:rPr>
          <w:rFonts w:hint="eastAsia" w:ascii="仿宋_GB2312" w:hAnsi="仿宋" w:eastAsia="仿宋_GB2312" w:cs="仿宋_GB2312"/>
          <w:sz w:val="32"/>
          <w:szCs w:val="32"/>
          <w:lang w:eastAsia="zh-CN"/>
        </w:rPr>
        <w:t>。</w:t>
      </w:r>
      <w:bookmarkStart w:id="2" w:name="_GoBack"/>
      <w:bookmarkEnd w:id="2"/>
    </w:p>
    <w:p>
      <w:pPr>
        <w:spacing w:line="580" w:lineRule="exact"/>
        <w:ind w:firstLine="640" w:firstLineChars="200"/>
        <w:rPr>
          <w:rFonts w:hint="eastAsia" w:ascii="仿宋_GB2312" w:hAnsi="仿宋" w:eastAsia="仿宋_GB2312" w:cs="仿宋_GB2312"/>
          <w:sz w:val="32"/>
          <w:szCs w:val="32"/>
          <w:lang w:val="zh-CN"/>
        </w:rPr>
      </w:pPr>
      <w:r>
        <w:rPr>
          <w:rFonts w:hint="eastAsia" w:ascii="仿宋_GB2312" w:hAnsi="仿宋" w:eastAsia="仿宋_GB2312" w:cs="仿宋_GB2312"/>
          <w:sz w:val="32"/>
          <w:szCs w:val="32"/>
          <w:lang w:val="zh-CN"/>
        </w:rPr>
        <w:t>（二）预设问题及评价重点。</w:t>
      </w:r>
    </w:p>
    <w:p>
      <w:pPr>
        <w:spacing w:line="580" w:lineRule="exact"/>
        <w:ind w:firstLine="640" w:firstLineChars="200"/>
        <w:rPr>
          <w:rFonts w:hint="default" w:ascii="仿宋_GB2312" w:hAnsi="仿宋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" w:eastAsia="仿宋_GB2312" w:cs="仿宋_GB2312"/>
          <w:sz w:val="32"/>
          <w:szCs w:val="32"/>
          <w:lang w:val="en-US" w:eastAsia="zh-CN"/>
        </w:rPr>
        <w:t>对照绩效评价指标体系，资金支出严格按照</w:t>
      </w:r>
      <w:r>
        <w:rPr>
          <w:rFonts w:hint="eastAsia" w:ascii="仿宋_GB2312" w:hAnsi="仿宋" w:eastAsia="仿宋_GB2312" w:cs="仿宋_GB2312"/>
          <w:sz w:val="32"/>
          <w:szCs w:val="32"/>
        </w:rPr>
        <w:t>《阿坝州财政局</w:t>
      </w:r>
      <w:r>
        <w:rPr>
          <w:rFonts w:hint="eastAsia" w:ascii="仿宋_GB2312" w:hAnsi="仿宋" w:eastAsia="仿宋_GB2312" w:cs="仿宋_GB2312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" w:eastAsia="仿宋_GB2312" w:cs="仿宋_GB2312"/>
          <w:sz w:val="32"/>
          <w:szCs w:val="32"/>
        </w:rPr>
        <w:t>阿坝州农业农村局关于提前下达2025年粮油生产保障等七项中央和省级农业相关转移支付资金的通知</w:t>
      </w:r>
      <w:r>
        <w:rPr>
          <w:rFonts w:hint="default" w:ascii="仿宋_GB2312" w:hAnsi="仿宋" w:eastAsia="仿宋_GB2312" w:cs="仿宋_GB2312"/>
          <w:sz w:val="32"/>
          <w:szCs w:val="32"/>
        </w:rPr>
        <w:t>》</w:t>
      </w:r>
      <w:r>
        <w:rPr>
          <w:rFonts w:hint="eastAsia" w:ascii="仿宋_GB2312" w:hAnsi="仿宋" w:eastAsia="仿宋_GB2312" w:cs="仿宋_GB2312"/>
          <w:sz w:val="32"/>
          <w:szCs w:val="32"/>
          <w:lang w:val="en-US" w:eastAsia="zh-CN"/>
        </w:rPr>
        <w:t>(阿州财农</w:t>
      </w:r>
      <w:r>
        <w:rPr>
          <w:rFonts w:hint="eastAsia" w:ascii="仿宋_GB2312" w:hAnsi="仿宋" w:eastAsia="仿宋_GB2312" w:cs="仿宋_GB2312"/>
          <w:sz w:val="32"/>
          <w:szCs w:val="32"/>
        </w:rPr>
        <w:t>〔202</w:t>
      </w:r>
      <w:r>
        <w:rPr>
          <w:rFonts w:hint="eastAsia" w:ascii="仿宋_GB2312" w:hAnsi="仿宋" w:eastAsia="仿宋_GB2312" w:cs="仿宋_GB2312"/>
          <w:sz w:val="32"/>
          <w:szCs w:val="32"/>
          <w:lang w:val="en-US" w:eastAsia="zh-CN"/>
        </w:rPr>
        <w:t>4</w:t>
      </w:r>
      <w:r>
        <w:rPr>
          <w:rFonts w:hint="eastAsia" w:ascii="仿宋_GB2312" w:hAnsi="仿宋" w:eastAsia="仿宋_GB2312" w:cs="仿宋_GB2312"/>
          <w:sz w:val="32"/>
          <w:szCs w:val="32"/>
        </w:rPr>
        <w:t>〕</w:t>
      </w:r>
      <w:r>
        <w:rPr>
          <w:rFonts w:hint="eastAsia" w:ascii="仿宋_GB2312" w:hAnsi="仿宋" w:eastAsia="仿宋_GB2312" w:cs="仿宋_GB2312"/>
          <w:sz w:val="32"/>
          <w:szCs w:val="32"/>
          <w:lang w:val="en-US" w:eastAsia="zh-CN"/>
        </w:rPr>
        <w:t>75号）、</w:t>
      </w:r>
      <w:r>
        <w:rPr>
          <w:rFonts w:hint="eastAsia" w:ascii="仿宋_GB2312" w:hAnsi="仿宋" w:eastAsia="仿宋_GB2312" w:cs="仿宋_GB2312"/>
          <w:sz w:val="32"/>
          <w:szCs w:val="32"/>
        </w:rPr>
        <w:t>《阿坝州财政局 阿坝州农业农村局关于下达2025年省级财政农业高质量发展共同财政事权转移支付资金的通知</w:t>
      </w:r>
      <w:r>
        <w:rPr>
          <w:rFonts w:hint="default" w:ascii="仿宋_GB2312" w:hAnsi="仿宋" w:eastAsia="仿宋_GB2312" w:cs="仿宋_GB2312"/>
          <w:sz w:val="32"/>
          <w:szCs w:val="32"/>
        </w:rPr>
        <w:t>》</w:t>
      </w:r>
      <w:r>
        <w:rPr>
          <w:rFonts w:hint="eastAsia" w:ascii="仿宋_GB2312" w:hAnsi="仿宋" w:eastAsia="仿宋_GB2312" w:cs="仿宋_GB2312"/>
          <w:sz w:val="32"/>
          <w:szCs w:val="32"/>
          <w:lang w:val="en-US" w:eastAsia="zh-CN"/>
        </w:rPr>
        <w:t>(阿州财农〔2025〕44号）、</w:t>
      </w:r>
      <w:r>
        <w:rPr>
          <w:rFonts w:hint="eastAsia" w:ascii="仿宋_GB2312" w:hAnsi="仿宋" w:eastAsia="仿宋_GB2312" w:cs="仿宋_GB2312"/>
          <w:sz w:val="32"/>
          <w:szCs w:val="32"/>
        </w:rPr>
        <w:t>《阿坝州财政局 阿坝州农业农村局关于下达2025年土地出让收入用于农业农村省级统筹部分资金的通知</w:t>
      </w:r>
      <w:r>
        <w:rPr>
          <w:rFonts w:hint="default" w:ascii="仿宋_GB2312" w:hAnsi="仿宋" w:eastAsia="仿宋_GB2312" w:cs="仿宋_GB2312"/>
          <w:sz w:val="32"/>
          <w:szCs w:val="32"/>
        </w:rPr>
        <w:t>》</w:t>
      </w:r>
      <w:r>
        <w:rPr>
          <w:rFonts w:hint="eastAsia" w:ascii="仿宋_GB2312" w:hAnsi="仿宋" w:eastAsia="仿宋_GB2312" w:cs="仿宋_GB2312"/>
          <w:sz w:val="32"/>
          <w:szCs w:val="32"/>
          <w:lang w:val="en-US" w:eastAsia="zh-CN"/>
        </w:rPr>
        <w:t>(阿州财农〔2025〕70号）等管理制度实施项目，体系健全完善，重点对项目管理、项目实施进行评价。</w:t>
      </w:r>
    </w:p>
    <w:p>
      <w:pPr>
        <w:spacing w:line="580" w:lineRule="exact"/>
        <w:ind w:firstLine="640" w:firstLineChars="200"/>
        <w:rPr>
          <w:rFonts w:hint="eastAsia" w:ascii="仿宋_GB2312" w:hAnsi="仿宋" w:eastAsia="仿宋_GB2312" w:cs="仿宋_GB2312"/>
          <w:sz w:val="32"/>
          <w:szCs w:val="32"/>
          <w:lang w:val="zh-CN"/>
        </w:rPr>
      </w:pPr>
      <w:r>
        <w:rPr>
          <w:rFonts w:hint="eastAsia" w:ascii="仿宋_GB2312" w:hAnsi="仿宋" w:eastAsia="仿宋_GB2312" w:cs="仿宋_GB2312"/>
          <w:sz w:val="32"/>
          <w:szCs w:val="32"/>
          <w:lang w:val="zh-CN"/>
        </w:rPr>
        <w:t>（三）评价选点。</w:t>
      </w:r>
    </w:p>
    <w:p>
      <w:pPr>
        <w:spacing w:line="580" w:lineRule="exact"/>
        <w:ind w:firstLine="640" w:firstLineChars="200"/>
        <w:rPr>
          <w:rFonts w:hint="eastAsia" w:ascii="仿宋_GB2312" w:hAnsi="仿宋" w:eastAsia="仿宋_GB2312" w:cs="仿宋_GB2312"/>
          <w:sz w:val="32"/>
          <w:szCs w:val="32"/>
          <w:lang w:val="zh-CN" w:eastAsia="zh-CN"/>
        </w:rPr>
      </w:pPr>
      <w:r>
        <w:rPr>
          <w:rFonts w:hint="eastAsia" w:ascii="仿宋_GB2312" w:hAnsi="仿宋" w:eastAsia="仿宋_GB2312" w:cs="仿宋_GB2312"/>
          <w:sz w:val="32"/>
          <w:szCs w:val="32"/>
          <w:lang w:val="en-US" w:eastAsia="zh-CN"/>
        </w:rPr>
        <w:t>本项目实施地点为芦花镇、西尔镇、维古乡、石碉楼乡、瓦钵梁子乡、扎窝镇，评价覆盖1个项目，涉及资金50.036万元。</w:t>
      </w:r>
    </w:p>
    <w:p>
      <w:pPr>
        <w:spacing w:line="580" w:lineRule="exact"/>
        <w:ind w:firstLine="640" w:firstLineChars="200"/>
        <w:rPr>
          <w:rFonts w:hint="eastAsia" w:ascii="仿宋_GB2312" w:hAnsi="仿宋" w:eastAsia="仿宋_GB2312" w:cs="仿宋_GB2312"/>
          <w:sz w:val="32"/>
          <w:szCs w:val="32"/>
          <w:lang w:val="zh-CN"/>
        </w:rPr>
      </w:pPr>
      <w:r>
        <w:rPr>
          <w:rFonts w:hint="eastAsia" w:ascii="仿宋_GB2312" w:hAnsi="仿宋" w:eastAsia="仿宋_GB2312" w:cs="仿宋_GB2312"/>
          <w:sz w:val="32"/>
          <w:szCs w:val="32"/>
          <w:lang w:val="zh-CN"/>
        </w:rPr>
        <w:t>（四）评价方法。</w:t>
      </w:r>
    </w:p>
    <w:p>
      <w:pPr>
        <w:spacing w:line="580" w:lineRule="exact"/>
        <w:ind w:firstLine="640" w:firstLineChars="200"/>
        <w:rPr>
          <w:rFonts w:hint="eastAsia" w:ascii="仿宋_GB2312" w:hAnsi="仿宋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" w:eastAsia="仿宋_GB2312" w:cs="仿宋_GB2312"/>
          <w:sz w:val="32"/>
          <w:szCs w:val="32"/>
          <w:lang w:val="zh-CN"/>
        </w:rPr>
        <w:t>根据项目情况和评价重点，</w:t>
      </w:r>
      <w:r>
        <w:rPr>
          <w:rFonts w:hint="eastAsia" w:ascii="仿宋_GB2312" w:hAnsi="仿宋" w:eastAsia="仿宋_GB2312" w:cs="仿宋_GB2312"/>
          <w:sz w:val="32"/>
          <w:szCs w:val="32"/>
          <w:lang w:val="zh-CN" w:eastAsia="zh-CN"/>
        </w:rPr>
        <w:t>我单位</w:t>
      </w:r>
      <w:r>
        <w:rPr>
          <w:rFonts w:hint="eastAsia" w:ascii="仿宋_GB2312" w:hAnsi="仿宋" w:eastAsia="仿宋_GB2312" w:cs="仿宋_GB2312"/>
          <w:sz w:val="32"/>
          <w:szCs w:val="32"/>
          <w:lang w:val="zh-CN"/>
        </w:rPr>
        <w:t>采用单位自评法</w:t>
      </w:r>
      <w:r>
        <w:rPr>
          <w:rFonts w:hint="eastAsia" w:ascii="仿宋_GB2312" w:hAnsi="仿宋" w:eastAsia="仿宋_GB2312" w:cs="仿宋_GB2312"/>
          <w:sz w:val="32"/>
          <w:szCs w:val="32"/>
          <w:lang w:val="zh-CN" w:eastAsia="zh-CN"/>
        </w:rPr>
        <w:t>进行自评，通过翻阅相关凭证和政策落实文件进行核实。</w:t>
      </w:r>
    </w:p>
    <w:p>
      <w:pPr>
        <w:spacing w:line="580" w:lineRule="exact"/>
        <w:ind w:firstLine="640" w:firstLineChars="200"/>
        <w:rPr>
          <w:rFonts w:ascii="仿宋_GB2312" w:hAnsi="仿宋" w:eastAsia="仿宋_GB2312" w:cs="仿宋_GB2312"/>
          <w:sz w:val="32"/>
          <w:szCs w:val="32"/>
        </w:rPr>
      </w:pPr>
      <w:r>
        <w:rPr>
          <w:rFonts w:hint="eastAsia" w:ascii="仿宋_GB2312" w:hAnsi="仿宋" w:eastAsia="仿宋_GB2312" w:cs="仿宋_GB2312"/>
          <w:sz w:val="32"/>
          <w:szCs w:val="32"/>
        </w:rPr>
        <w:t>二、评价结论及绩效分析</w:t>
      </w:r>
    </w:p>
    <w:p>
      <w:pPr>
        <w:spacing w:line="580" w:lineRule="exact"/>
        <w:ind w:firstLine="640" w:firstLineChars="200"/>
        <w:rPr>
          <w:rFonts w:ascii="仿宋_GB2312" w:hAnsi="仿宋" w:eastAsia="仿宋_GB2312" w:cs="仿宋_GB2312"/>
          <w:sz w:val="32"/>
          <w:szCs w:val="32"/>
        </w:rPr>
      </w:pPr>
      <w:r>
        <w:rPr>
          <w:rFonts w:hint="eastAsia" w:ascii="仿宋_GB2312" w:hAnsi="仿宋" w:eastAsia="仿宋_GB2312" w:cs="仿宋_GB2312"/>
          <w:sz w:val="32"/>
          <w:szCs w:val="32"/>
        </w:rPr>
        <w:t>（一）评价结论</w:t>
      </w:r>
    </w:p>
    <w:p>
      <w:pPr>
        <w:pStyle w:val="7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pacing w:line="600" w:lineRule="exact"/>
        <w:ind w:firstLine="640" w:firstLineChars="200"/>
        <w:textAlignment w:val="auto"/>
        <w:rPr>
          <w:rFonts w:hint="eastAsia" w:ascii="Times New Roman" w:hAnsi="Times New Roman" w:eastAsia="仿宋_GB2312" w:cs="Times New Roman"/>
          <w:color w:val="auto"/>
          <w:kern w:val="2"/>
          <w:position w:val="0"/>
          <w:sz w:val="32"/>
          <w:szCs w:val="32"/>
          <w:lang w:val="zh-CN" w:eastAsia="zh-CN" w:bidi="ar-SA"/>
        </w:rPr>
      </w:pPr>
      <w:r>
        <w:rPr>
          <w:rFonts w:hint="eastAsia" w:ascii="Times New Roman" w:hAnsi="Times New Roman" w:eastAsia="仿宋_GB2312" w:cs="Times New Roman"/>
          <w:color w:val="auto"/>
          <w:kern w:val="2"/>
          <w:position w:val="0"/>
          <w:sz w:val="32"/>
          <w:szCs w:val="32"/>
          <w:lang w:val="zh-CN" w:eastAsia="zh-CN" w:bidi="ar-SA"/>
        </w:rPr>
        <w:t>通过汇总、整理、分析</w:t>
      </w:r>
      <w:r>
        <w:rPr>
          <w:rFonts w:hint="eastAsia" w:ascii="Times New Roman" w:eastAsia="仿宋_GB2312" w:cs="Times New Roman"/>
          <w:color w:val="auto"/>
          <w:kern w:val="2"/>
          <w:position w:val="0"/>
          <w:sz w:val="32"/>
          <w:szCs w:val="32"/>
          <w:lang w:val="en-US" w:eastAsia="zh-CN" w:bidi="ar-SA"/>
        </w:rPr>
        <w:t>项目</w:t>
      </w:r>
      <w:r>
        <w:rPr>
          <w:rFonts w:hint="eastAsia" w:ascii="Times New Roman" w:hAnsi="Times New Roman" w:eastAsia="仿宋_GB2312" w:cs="Times New Roman"/>
          <w:color w:val="auto"/>
          <w:kern w:val="2"/>
          <w:position w:val="0"/>
          <w:sz w:val="32"/>
          <w:szCs w:val="32"/>
          <w:lang w:val="en-US" w:eastAsia="zh-CN" w:bidi="ar-SA"/>
        </w:rPr>
        <w:t>绩</w:t>
      </w:r>
      <w:r>
        <w:rPr>
          <w:rFonts w:hint="eastAsia" w:ascii="Times New Roman" w:hAnsi="Times New Roman" w:eastAsia="仿宋_GB2312" w:cs="Times New Roman"/>
          <w:color w:val="auto"/>
          <w:kern w:val="2"/>
          <w:position w:val="0"/>
          <w:sz w:val="32"/>
          <w:szCs w:val="32"/>
          <w:lang w:val="zh-CN" w:eastAsia="zh-CN" w:bidi="ar-SA"/>
        </w:rPr>
        <w:t>效评价指标体系，绩效目标基本实现，自评得分为</w:t>
      </w:r>
      <w:r>
        <w:rPr>
          <w:rFonts w:hint="eastAsia" w:ascii="Times New Roman" w:hAnsi="Times New Roman" w:eastAsia="仿宋_GB2312" w:cs="Times New Roman"/>
          <w:color w:val="auto"/>
          <w:kern w:val="2"/>
          <w:position w:val="0"/>
          <w:sz w:val="32"/>
          <w:szCs w:val="32"/>
          <w:lang w:val="en-US" w:eastAsia="zh-CN" w:bidi="ar-SA"/>
        </w:rPr>
        <w:t>98</w:t>
      </w:r>
      <w:r>
        <w:rPr>
          <w:rFonts w:hint="eastAsia" w:ascii="Times New Roman" w:hAnsi="Times New Roman" w:eastAsia="仿宋_GB2312" w:cs="Times New Roman"/>
          <w:color w:val="auto"/>
          <w:kern w:val="2"/>
          <w:position w:val="0"/>
          <w:sz w:val="32"/>
          <w:szCs w:val="32"/>
          <w:lang w:val="zh-CN" w:eastAsia="zh-CN" w:bidi="ar-SA"/>
        </w:rPr>
        <w:t>分。</w:t>
      </w:r>
    </w:p>
    <w:p>
      <w:pPr>
        <w:pStyle w:val="7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pacing w:line="600" w:lineRule="exact"/>
        <w:ind w:firstLine="640" w:firstLineChars="200"/>
        <w:textAlignment w:val="auto"/>
        <w:rPr>
          <w:rFonts w:hint="eastAsia" w:ascii="Times New Roman" w:hAnsi="Times New Roman" w:eastAsia="仿宋_GB2312" w:cs="Times New Roman"/>
          <w:color w:val="auto"/>
          <w:kern w:val="2"/>
          <w:position w:val="0"/>
          <w:sz w:val="32"/>
          <w:szCs w:val="32"/>
          <w:lang w:val="zh-CN" w:eastAsia="zh-CN" w:bidi="ar-SA"/>
        </w:rPr>
      </w:pPr>
    </w:p>
    <w:tbl>
      <w:tblPr>
        <w:tblStyle w:val="13"/>
        <w:tblW w:w="8520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39"/>
        <w:gridCol w:w="1062"/>
        <w:gridCol w:w="946"/>
        <w:gridCol w:w="1168"/>
        <w:gridCol w:w="396"/>
        <w:gridCol w:w="922"/>
        <w:gridCol w:w="396"/>
        <w:gridCol w:w="771"/>
        <w:gridCol w:w="486"/>
        <w:gridCol w:w="396"/>
        <w:gridCol w:w="1338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</w:trPr>
        <w:tc>
          <w:tcPr>
            <w:tcW w:w="8520" w:type="dxa"/>
            <w:gridSpan w:val="1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黑体" w:hAnsi="宋体" w:eastAsia="黑体" w:cs="黑体"/>
                <w:b/>
                <w:bCs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部门预算项目支出绩效自评表（2025年度）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186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项目名称</w:t>
            </w:r>
          </w:p>
        </w:tc>
        <w:tc>
          <w:tcPr>
            <w:tcW w:w="6660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黑水县2025年种粮大户补贴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</w:trPr>
        <w:tc>
          <w:tcPr>
            <w:tcW w:w="186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主管部门</w:t>
            </w:r>
          </w:p>
        </w:tc>
        <w:tc>
          <w:tcPr>
            <w:tcW w:w="3959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黑水县农业农村水利和科技局</w:t>
            </w: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黑体" w:hAnsi="黑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黑体" w:hAnsi="黑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实施单位 （盖章）</w:t>
            </w:r>
          </w:p>
        </w:tc>
        <w:tc>
          <w:tcPr>
            <w:tcW w:w="206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黑水县农业农村水利和科技局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65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项目基本情况</w:t>
            </w:r>
          </w:p>
        </w:tc>
        <w:tc>
          <w:tcPr>
            <w:tcW w:w="120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1.项目年度目标完成情况</w:t>
            </w:r>
          </w:p>
        </w:tc>
        <w:tc>
          <w:tcPr>
            <w:tcW w:w="3959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项目年度目标</w:t>
            </w:r>
          </w:p>
        </w:tc>
        <w:tc>
          <w:tcPr>
            <w:tcW w:w="2701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年度目标完成情况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65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20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3959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发放补贴面积2497.8亩，补贴标准200元/亩。</w:t>
            </w:r>
          </w:p>
        </w:tc>
        <w:tc>
          <w:tcPr>
            <w:tcW w:w="2701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完成发放补贴面积2497.8亩，补贴标准200元/亩。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</w:trPr>
        <w:tc>
          <w:tcPr>
            <w:tcW w:w="65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2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2.项目实施内容及过程概述</w:t>
            </w:r>
          </w:p>
        </w:tc>
        <w:tc>
          <w:tcPr>
            <w:tcW w:w="6660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完成发放补贴面积2497.8亩，补贴标准200元/亩。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</w:trPr>
        <w:tc>
          <w:tcPr>
            <w:tcW w:w="65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预算执行情况（10分）</w:t>
            </w:r>
          </w:p>
        </w:tc>
        <w:tc>
          <w:tcPr>
            <w:tcW w:w="12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年度预算数（万元）</w:t>
            </w:r>
          </w:p>
        </w:tc>
        <w:tc>
          <w:tcPr>
            <w:tcW w:w="10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年初预算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调整后预算数</w:t>
            </w:r>
          </w:p>
        </w:tc>
        <w:tc>
          <w:tcPr>
            <w:tcW w:w="159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预算执行数</w:t>
            </w:r>
          </w:p>
        </w:tc>
        <w:tc>
          <w:tcPr>
            <w:tcW w:w="6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预算执行率</w:t>
            </w:r>
          </w:p>
        </w:tc>
        <w:tc>
          <w:tcPr>
            <w:tcW w:w="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权重</w:t>
            </w:r>
          </w:p>
        </w:tc>
        <w:tc>
          <w:tcPr>
            <w:tcW w:w="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得分</w:t>
            </w:r>
          </w:p>
        </w:tc>
        <w:tc>
          <w:tcPr>
            <w:tcW w:w="14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原因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65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2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总额</w:t>
            </w:r>
          </w:p>
        </w:tc>
        <w:tc>
          <w:tcPr>
            <w:tcW w:w="10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50.04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50.04</w:t>
            </w:r>
          </w:p>
        </w:tc>
        <w:tc>
          <w:tcPr>
            <w:tcW w:w="159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49.96</w:t>
            </w:r>
          </w:p>
        </w:tc>
        <w:tc>
          <w:tcPr>
            <w:tcW w:w="6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99.80%</w:t>
            </w:r>
          </w:p>
        </w:tc>
        <w:tc>
          <w:tcPr>
            <w:tcW w:w="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149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黑体" w:hAnsi="黑体" w:eastAsia="黑体" w:cs="黑体"/>
                <w:i/>
                <w:iCs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黑体" w:hAnsi="黑体" w:eastAsia="黑体" w:cs="黑体"/>
                <w:i/>
                <w:iCs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1.预算执行率=预算执行数/调整后预算数，预算执行率未达到90%的需说明原因（100字以内）;2.年中发生预算调整的（追加或调减）,应单独说明理由；3.其他资金包括：社会投入资金、银行贷款.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65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2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其中：财政资金</w:t>
            </w:r>
          </w:p>
        </w:tc>
        <w:tc>
          <w:tcPr>
            <w:tcW w:w="10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50.04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50.04</w:t>
            </w:r>
          </w:p>
        </w:tc>
        <w:tc>
          <w:tcPr>
            <w:tcW w:w="159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49.96</w:t>
            </w:r>
          </w:p>
        </w:tc>
        <w:tc>
          <w:tcPr>
            <w:tcW w:w="6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99.80%</w:t>
            </w:r>
          </w:p>
        </w:tc>
        <w:tc>
          <w:tcPr>
            <w:tcW w:w="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149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default" w:ascii="黑体" w:hAnsi="黑体" w:eastAsia="黑体" w:cs="黑体"/>
                <w:i/>
                <w:iCs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65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2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财政专户管理资金</w:t>
            </w:r>
          </w:p>
        </w:tc>
        <w:tc>
          <w:tcPr>
            <w:tcW w:w="10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59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0.00%</w:t>
            </w:r>
          </w:p>
        </w:tc>
        <w:tc>
          <w:tcPr>
            <w:tcW w:w="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149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default" w:ascii="黑体" w:hAnsi="黑体" w:eastAsia="黑体" w:cs="黑体"/>
                <w:i/>
                <w:iCs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65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2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单位资金</w:t>
            </w:r>
          </w:p>
        </w:tc>
        <w:tc>
          <w:tcPr>
            <w:tcW w:w="10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59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0.00%</w:t>
            </w:r>
          </w:p>
        </w:tc>
        <w:tc>
          <w:tcPr>
            <w:tcW w:w="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149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default" w:ascii="黑体" w:hAnsi="黑体" w:eastAsia="黑体" w:cs="黑体"/>
                <w:i/>
                <w:iCs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5" w:hRule="atLeast"/>
        </w:trPr>
        <w:tc>
          <w:tcPr>
            <w:tcW w:w="65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2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其他资金</w:t>
            </w:r>
          </w:p>
        </w:tc>
        <w:tc>
          <w:tcPr>
            <w:tcW w:w="10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59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6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149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default" w:ascii="黑体" w:hAnsi="黑体" w:eastAsia="黑体" w:cs="黑体"/>
                <w:i/>
                <w:iCs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29" w:hRule="atLeast"/>
        </w:trPr>
        <w:tc>
          <w:tcPr>
            <w:tcW w:w="65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绩效指标（90分）</w:t>
            </w:r>
          </w:p>
        </w:tc>
        <w:tc>
          <w:tcPr>
            <w:tcW w:w="12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一级指标</w:t>
            </w:r>
          </w:p>
        </w:tc>
        <w:tc>
          <w:tcPr>
            <w:tcW w:w="10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二级指标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三级指标</w:t>
            </w:r>
          </w:p>
        </w:tc>
        <w:tc>
          <w:tcPr>
            <w:tcW w:w="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指标性质</w:t>
            </w:r>
          </w:p>
        </w:tc>
        <w:tc>
          <w:tcPr>
            <w:tcW w:w="9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指标值</w:t>
            </w:r>
          </w:p>
        </w:tc>
        <w:tc>
          <w:tcPr>
            <w:tcW w:w="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度量单位</w:t>
            </w:r>
          </w:p>
        </w:tc>
        <w:tc>
          <w:tcPr>
            <w:tcW w:w="6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完成值</w:t>
            </w:r>
          </w:p>
        </w:tc>
        <w:tc>
          <w:tcPr>
            <w:tcW w:w="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权重</w:t>
            </w:r>
          </w:p>
        </w:tc>
        <w:tc>
          <w:tcPr>
            <w:tcW w:w="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得分</w:t>
            </w:r>
          </w:p>
        </w:tc>
        <w:tc>
          <w:tcPr>
            <w:tcW w:w="14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未完成原因分析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65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2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产出指标</w:t>
            </w:r>
          </w:p>
        </w:tc>
        <w:tc>
          <w:tcPr>
            <w:tcW w:w="10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数量指标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补贴面积</w:t>
            </w:r>
          </w:p>
        </w:tc>
        <w:tc>
          <w:tcPr>
            <w:tcW w:w="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≥</w:t>
            </w:r>
          </w:p>
        </w:tc>
        <w:tc>
          <w:tcPr>
            <w:tcW w:w="9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2497.8</w:t>
            </w:r>
          </w:p>
        </w:tc>
        <w:tc>
          <w:tcPr>
            <w:tcW w:w="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亩</w:t>
            </w:r>
          </w:p>
        </w:tc>
        <w:tc>
          <w:tcPr>
            <w:tcW w:w="6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2497.8亩</w:t>
            </w:r>
          </w:p>
        </w:tc>
        <w:tc>
          <w:tcPr>
            <w:tcW w:w="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</w:t>
            </w:r>
          </w:p>
        </w:tc>
        <w:tc>
          <w:tcPr>
            <w:tcW w:w="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</w:t>
            </w:r>
          </w:p>
        </w:tc>
        <w:tc>
          <w:tcPr>
            <w:tcW w:w="14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</w:trPr>
        <w:tc>
          <w:tcPr>
            <w:tcW w:w="65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2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产出指标</w:t>
            </w:r>
          </w:p>
        </w:tc>
        <w:tc>
          <w:tcPr>
            <w:tcW w:w="10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数量指标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补贴标准</w:t>
            </w:r>
          </w:p>
        </w:tc>
        <w:tc>
          <w:tcPr>
            <w:tcW w:w="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≥</w:t>
            </w:r>
          </w:p>
        </w:tc>
        <w:tc>
          <w:tcPr>
            <w:tcW w:w="9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200</w:t>
            </w:r>
          </w:p>
        </w:tc>
        <w:tc>
          <w:tcPr>
            <w:tcW w:w="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元/亩</w:t>
            </w:r>
          </w:p>
        </w:tc>
        <w:tc>
          <w:tcPr>
            <w:tcW w:w="6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200元/亩</w:t>
            </w:r>
          </w:p>
        </w:tc>
        <w:tc>
          <w:tcPr>
            <w:tcW w:w="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14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65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2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产出指标</w:t>
            </w:r>
          </w:p>
        </w:tc>
        <w:tc>
          <w:tcPr>
            <w:tcW w:w="10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时效指标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完成及时率</w:t>
            </w:r>
          </w:p>
        </w:tc>
        <w:tc>
          <w:tcPr>
            <w:tcW w:w="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≥</w:t>
            </w:r>
          </w:p>
        </w:tc>
        <w:tc>
          <w:tcPr>
            <w:tcW w:w="9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%</w:t>
            </w:r>
          </w:p>
        </w:tc>
        <w:tc>
          <w:tcPr>
            <w:tcW w:w="6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100%</w:t>
            </w:r>
          </w:p>
        </w:tc>
        <w:tc>
          <w:tcPr>
            <w:tcW w:w="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</w:t>
            </w:r>
          </w:p>
        </w:tc>
        <w:tc>
          <w:tcPr>
            <w:tcW w:w="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</w:t>
            </w:r>
          </w:p>
        </w:tc>
        <w:tc>
          <w:tcPr>
            <w:tcW w:w="14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</w:trPr>
        <w:tc>
          <w:tcPr>
            <w:tcW w:w="65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2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效益指标</w:t>
            </w:r>
          </w:p>
        </w:tc>
        <w:tc>
          <w:tcPr>
            <w:tcW w:w="10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经济效益指标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受益农户增收</w:t>
            </w:r>
          </w:p>
        </w:tc>
        <w:tc>
          <w:tcPr>
            <w:tcW w:w="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≥</w:t>
            </w:r>
          </w:p>
        </w:tc>
        <w:tc>
          <w:tcPr>
            <w:tcW w:w="9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200</w:t>
            </w:r>
          </w:p>
        </w:tc>
        <w:tc>
          <w:tcPr>
            <w:tcW w:w="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元/亩</w:t>
            </w:r>
          </w:p>
        </w:tc>
        <w:tc>
          <w:tcPr>
            <w:tcW w:w="6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200元/亩</w:t>
            </w:r>
          </w:p>
        </w:tc>
        <w:tc>
          <w:tcPr>
            <w:tcW w:w="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14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</w:trPr>
        <w:tc>
          <w:tcPr>
            <w:tcW w:w="65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2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效益指标</w:t>
            </w:r>
          </w:p>
        </w:tc>
        <w:tc>
          <w:tcPr>
            <w:tcW w:w="10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生态效益</w:t>
            </w: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指标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提高种粮积极性</w:t>
            </w:r>
          </w:p>
        </w:tc>
        <w:tc>
          <w:tcPr>
            <w:tcW w:w="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提高</w:t>
            </w:r>
          </w:p>
        </w:tc>
        <w:tc>
          <w:tcPr>
            <w:tcW w:w="9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提高</w:t>
            </w:r>
          </w:p>
        </w:tc>
        <w:tc>
          <w:tcPr>
            <w:tcW w:w="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提高</w:t>
            </w:r>
          </w:p>
        </w:tc>
        <w:tc>
          <w:tcPr>
            <w:tcW w:w="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14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</w:trPr>
        <w:tc>
          <w:tcPr>
            <w:tcW w:w="65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2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满意度</w:t>
            </w: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指标</w:t>
            </w:r>
          </w:p>
        </w:tc>
        <w:tc>
          <w:tcPr>
            <w:tcW w:w="10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服务对象</w:t>
            </w: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满意度指标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受益农户满意度</w:t>
            </w:r>
          </w:p>
        </w:tc>
        <w:tc>
          <w:tcPr>
            <w:tcW w:w="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≥</w:t>
            </w:r>
          </w:p>
        </w:tc>
        <w:tc>
          <w:tcPr>
            <w:tcW w:w="9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96</w:t>
            </w:r>
          </w:p>
        </w:tc>
        <w:tc>
          <w:tcPr>
            <w:tcW w:w="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%</w:t>
            </w:r>
          </w:p>
        </w:tc>
        <w:tc>
          <w:tcPr>
            <w:tcW w:w="6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96</w:t>
            </w:r>
          </w:p>
        </w:tc>
        <w:tc>
          <w:tcPr>
            <w:tcW w:w="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</w:t>
            </w:r>
          </w:p>
        </w:tc>
        <w:tc>
          <w:tcPr>
            <w:tcW w:w="14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</w:trPr>
        <w:tc>
          <w:tcPr>
            <w:tcW w:w="65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2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成本指标</w:t>
            </w:r>
          </w:p>
        </w:tc>
        <w:tc>
          <w:tcPr>
            <w:tcW w:w="10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经济成本</w:t>
            </w: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指标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补贴成本</w:t>
            </w:r>
          </w:p>
        </w:tc>
        <w:tc>
          <w:tcPr>
            <w:tcW w:w="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≤</w:t>
            </w:r>
          </w:p>
        </w:tc>
        <w:tc>
          <w:tcPr>
            <w:tcW w:w="9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200</w:t>
            </w:r>
          </w:p>
        </w:tc>
        <w:tc>
          <w:tcPr>
            <w:tcW w:w="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元/亩</w:t>
            </w:r>
          </w:p>
        </w:tc>
        <w:tc>
          <w:tcPr>
            <w:tcW w:w="6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200元/亩</w:t>
            </w:r>
          </w:p>
        </w:tc>
        <w:tc>
          <w:tcPr>
            <w:tcW w:w="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14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6458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合计</w:t>
            </w:r>
          </w:p>
        </w:tc>
        <w:tc>
          <w:tcPr>
            <w:tcW w:w="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98</w:t>
            </w:r>
          </w:p>
        </w:tc>
        <w:tc>
          <w:tcPr>
            <w:tcW w:w="14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评价结论</w:t>
            </w:r>
          </w:p>
        </w:tc>
        <w:tc>
          <w:tcPr>
            <w:tcW w:w="7862" w:type="dxa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/>
                <w:iCs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在规定时间内完成发放发放补贴面积2497.8亩，补贴标准200元/亩。项目符合预期目标，得98分。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存在问题</w:t>
            </w:r>
          </w:p>
        </w:tc>
        <w:tc>
          <w:tcPr>
            <w:tcW w:w="7862" w:type="dxa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/>
                <w:iCs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5" w:hRule="atLeast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改进措施</w:t>
            </w:r>
          </w:p>
        </w:tc>
        <w:tc>
          <w:tcPr>
            <w:tcW w:w="7862" w:type="dxa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/>
                <w:iCs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无</w:t>
            </w:r>
          </w:p>
        </w:tc>
      </w:tr>
    </w:tbl>
    <w:p>
      <w:pPr>
        <w:rPr>
          <w:rFonts w:hint="eastAsia"/>
          <w:lang w:eastAsia="zh-CN"/>
        </w:rPr>
      </w:pPr>
    </w:p>
    <w:p>
      <w:pPr>
        <w:spacing w:line="580" w:lineRule="exact"/>
        <w:ind w:firstLine="640" w:firstLineChars="200"/>
        <w:rPr>
          <w:rFonts w:ascii="仿宋_GB2312" w:hAnsi="仿宋" w:eastAsia="仿宋_GB2312" w:cs="仿宋_GB2312"/>
          <w:sz w:val="32"/>
          <w:szCs w:val="32"/>
        </w:rPr>
      </w:pPr>
      <w:r>
        <w:rPr>
          <w:rFonts w:hint="eastAsia" w:ascii="仿宋_GB2312" w:hAnsi="仿宋" w:eastAsia="仿宋_GB2312" w:cs="仿宋_GB2312"/>
          <w:sz w:val="32"/>
          <w:szCs w:val="32"/>
        </w:rPr>
        <w:t>（二）绩效分析</w:t>
      </w:r>
    </w:p>
    <w:p>
      <w:pPr>
        <w:spacing w:line="580" w:lineRule="exact"/>
        <w:ind w:firstLine="640" w:firstLineChars="200"/>
        <w:rPr>
          <w:rFonts w:ascii="仿宋_GB2312" w:hAnsi="仿宋" w:eastAsia="仿宋_GB2312" w:cs="仿宋_GB2312"/>
          <w:sz w:val="32"/>
          <w:szCs w:val="32"/>
        </w:rPr>
      </w:pPr>
      <w:r>
        <w:rPr>
          <w:rFonts w:hint="eastAsia" w:ascii="仿宋_GB2312" w:hAnsi="仿宋" w:eastAsia="仿宋_GB2312" w:cs="仿宋_GB2312"/>
          <w:sz w:val="32"/>
          <w:szCs w:val="32"/>
        </w:rPr>
        <w:t>1、项目决策</w:t>
      </w:r>
    </w:p>
    <w:p>
      <w:pPr>
        <w:spacing w:line="580" w:lineRule="exact"/>
        <w:ind w:firstLine="640" w:firstLineChars="200"/>
        <w:rPr>
          <w:rFonts w:hint="eastAsia" w:ascii="仿宋_GB2312" w:hAnsi="仿宋" w:eastAsia="仿宋_GB2312" w:cs="仿宋_GB2312"/>
          <w:sz w:val="32"/>
          <w:szCs w:val="32"/>
        </w:rPr>
      </w:pPr>
      <w:r>
        <w:rPr>
          <w:rFonts w:hint="eastAsia" w:ascii="仿宋_GB2312" w:hAnsi="仿宋" w:eastAsia="仿宋_GB2312" w:cs="仿宋_GB2312"/>
          <w:sz w:val="32"/>
          <w:szCs w:val="32"/>
          <w:lang w:eastAsia="zh-CN"/>
        </w:rPr>
        <w:t>（</w:t>
      </w:r>
      <w:r>
        <w:rPr>
          <w:rFonts w:hint="eastAsia" w:ascii="仿宋_GB2312" w:hAnsi="仿宋" w:eastAsia="仿宋_GB2312" w:cs="仿宋_GB2312"/>
          <w:sz w:val="32"/>
          <w:szCs w:val="32"/>
          <w:lang w:val="en-US" w:eastAsia="zh-CN"/>
        </w:rPr>
        <w:t>1</w:t>
      </w:r>
      <w:r>
        <w:rPr>
          <w:rFonts w:hint="eastAsia" w:ascii="仿宋_GB2312" w:hAnsi="仿宋" w:eastAsia="仿宋_GB2312" w:cs="仿宋_GB2312"/>
          <w:sz w:val="32"/>
          <w:szCs w:val="32"/>
          <w:lang w:eastAsia="zh-CN"/>
        </w:rPr>
        <w:t>）</w:t>
      </w:r>
      <w:r>
        <w:rPr>
          <w:rFonts w:hint="eastAsia" w:ascii="仿宋_GB2312" w:hAnsi="仿宋" w:eastAsia="仿宋_GB2312" w:cs="仿宋_GB2312"/>
          <w:sz w:val="32"/>
          <w:szCs w:val="32"/>
        </w:rPr>
        <w:t>必要性和可行性分析</w:t>
      </w:r>
    </w:p>
    <w:p>
      <w:pPr>
        <w:keepNext w:val="0"/>
        <w:keepLines w:val="0"/>
        <w:widowControl/>
        <w:suppressLineNumbers w:val="0"/>
        <w:ind w:firstLine="640" w:firstLineChars="200"/>
        <w:jc w:val="left"/>
        <w:rPr>
          <w:rFonts w:hint="eastAsia"/>
        </w:rPr>
      </w:pPr>
      <w:r>
        <w:rPr>
          <w:rFonts w:hint="eastAsia" w:ascii="仿宋_GB2312" w:hAnsi="仿宋" w:eastAsia="仿宋_GB2312" w:cs="仿宋_GB2312"/>
          <w:sz w:val="32"/>
          <w:szCs w:val="32"/>
          <w:lang w:val="en-US" w:eastAsia="zh-CN"/>
        </w:rPr>
        <w:t>贯彻落实党中央、国务院决策部署，完成种粮大户补贴的工作，决策程序严密，经集体研究和按照</w:t>
      </w:r>
      <w:bookmarkStart w:id="0" w:name="OLE_LINK11"/>
      <w:r>
        <w:rPr>
          <w:rFonts w:hint="eastAsia" w:ascii="仿宋_GB2312" w:hAnsi="仿宋" w:eastAsia="仿宋_GB2312" w:cs="仿宋_GB2312"/>
          <w:sz w:val="32"/>
          <w:szCs w:val="32"/>
        </w:rPr>
        <w:t>《阿坝州财政局</w:t>
      </w:r>
      <w:r>
        <w:rPr>
          <w:rFonts w:hint="eastAsia" w:ascii="仿宋_GB2312" w:hAnsi="仿宋" w:eastAsia="仿宋_GB2312" w:cs="仿宋_GB2312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" w:eastAsia="仿宋_GB2312" w:cs="仿宋_GB2312"/>
          <w:sz w:val="32"/>
          <w:szCs w:val="32"/>
        </w:rPr>
        <w:t>阿坝州农业农村局关于提前下达2025年粮油生产保障等七项中央和省级农业相关转移支付资金的通知</w:t>
      </w:r>
      <w:r>
        <w:rPr>
          <w:rFonts w:hint="default" w:ascii="仿宋_GB2312" w:hAnsi="仿宋" w:eastAsia="仿宋_GB2312" w:cs="仿宋_GB2312"/>
          <w:sz w:val="32"/>
          <w:szCs w:val="32"/>
        </w:rPr>
        <w:t>》</w:t>
      </w:r>
      <w:r>
        <w:rPr>
          <w:rFonts w:hint="eastAsia" w:ascii="仿宋_GB2312" w:hAnsi="仿宋" w:eastAsia="仿宋_GB2312" w:cs="仿宋_GB2312"/>
          <w:sz w:val="32"/>
          <w:szCs w:val="32"/>
          <w:lang w:val="en-US" w:eastAsia="zh-CN"/>
        </w:rPr>
        <w:t>(阿州财农</w:t>
      </w:r>
      <w:r>
        <w:rPr>
          <w:rFonts w:hint="eastAsia" w:ascii="仿宋_GB2312" w:hAnsi="仿宋" w:eastAsia="仿宋_GB2312" w:cs="仿宋_GB2312"/>
          <w:sz w:val="32"/>
          <w:szCs w:val="32"/>
        </w:rPr>
        <w:t>〔202</w:t>
      </w:r>
      <w:r>
        <w:rPr>
          <w:rFonts w:hint="eastAsia" w:ascii="仿宋_GB2312" w:hAnsi="仿宋" w:eastAsia="仿宋_GB2312" w:cs="仿宋_GB2312"/>
          <w:sz w:val="32"/>
          <w:szCs w:val="32"/>
          <w:lang w:val="en-US" w:eastAsia="zh-CN"/>
        </w:rPr>
        <w:t>4</w:t>
      </w:r>
      <w:r>
        <w:rPr>
          <w:rFonts w:hint="eastAsia" w:ascii="仿宋_GB2312" w:hAnsi="仿宋" w:eastAsia="仿宋_GB2312" w:cs="仿宋_GB2312"/>
          <w:sz w:val="32"/>
          <w:szCs w:val="32"/>
        </w:rPr>
        <w:t>〕</w:t>
      </w:r>
      <w:r>
        <w:rPr>
          <w:rFonts w:hint="eastAsia" w:ascii="仿宋_GB2312" w:hAnsi="仿宋" w:eastAsia="仿宋_GB2312" w:cs="仿宋_GB2312"/>
          <w:sz w:val="32"/>
          <w:szCs w:val="32"/>
          <w:lang w:val="en-US" w:eastAsia="zh-CN"/>
        </w:rPr>
        <w:t>75号）、</w:t>
      </w:r>
      <w:r>
        <w:rPr>
          <w:rFonts w:hint="eastAsia" w:ascii="仿宋_GB2312" w:hAnsi="仿宋" w:eastAsia="仿宋_GB2312" w:cs="仿宋_GB2312"/>
          <w:sz w:val="32"/>
          <w:szCs w:val="32"/>
        </w:rPr>
        <w:t>《阿坝州财政局 阿坝州农业农村局关于下达2025年省级财政农业高质量发展共同财政事权转移支付资金的通知</w:t>
      </w:r>
      <w:r>
        <w:rPr>
          <w:rFonts w:hint="default" w:ascii="仿宋_GB2312" w:hAnsi="仿宋" w:eastAsia="仿宋_GB2312" w:cs="仿宋_GB2312"/>
          <w:sz w:val="32"/>
          <w:szCs w:val="32"/>
        </w:rPr>
        <w:t>》</w:t>
      </w:r>
      <w:r>
        <w:rPr>
          <w:rFonts w:hint="eastAsia" w:ascii="仿宋_GB2312" w:hAnsi="仿宋" w:eastAsia="仿宋_GB2312" w:cs="仿宋_GB2312"/>
          <w:sz w:val="32"/>
          <w:szCs w:val="32"/>
          <w:lang w:val="en-US" w:eastAsia="zh-CN"/>
        </w:rPr>
        <w:t>(阿州财农〔2025〕44号）、</w:t>
      </w:r>
      <w:r>
        <w:rPr>
          <w:rFonts w:hint="eastAsia" w:ascii="仿宋_GB2312" w:hAnsi="仿宋" w:eastAsia="仿宋_GB2312" w:cs="仿宋_GB2312"/>
          <w:sz w:val="32"/>
          <w:szCs w:val="32"/>
        </w:rPr>
        <w:t>《阿坝州财政局 阿坝州农业农村局关于下达2025年土地出让收入用于农业农村省级统筹部分资金的通知</w:t>
      </w:r>
      <w:r>
        <w:rPr>
          <w:rFonts w:hint="default" w:ascii="仿宋_GB2312" w:hAnsi="仿宋" w:eastAsia="仿宋_GB2312" w:cs="仿宋_GB2312"/>
          <w:sz w:val="32"/>
          <w:szCs w:val="32"/>
        </w:rPr>
        <w:t>》</w:t>
      </w:r>
      <w:r>
        <w:rPr>
          <w:rFonts w:hint="eastAsia" w:ascii="仿宋_GB2312" w:hAnsi="仿宋" w:eastAsia="仿宋_GB2312" w:cs="仿宋_GB2312"/>
          <w:sz w:val="32"/>
          <w:szCs w:val="32"/>
          <w:lang w:val="en-US" w:eastAsia="zh-CN"/>
        </w:rPr>
        <w:t>(阿州财农〔2025〕70号）资金文件</w:t>
      </w:r>
      <w:bookmarkEnd w:id="0"/>
      <w:r>
        <w:rPr>
          <w:rFonts w:hint="eastAsia" w:ascii="仿宋_GB2312" w:hAnsi="仿宋" w:eastAsia="仿宋_GB2312" w:cs="仿宋_GB2312"/>
          <w:sz w:val="32"/>
          <w:szCs w:val="32"/>
          <w:lang w:val="en-US" w:eastAsia="zh-CN"/>
        </w:rPr>
        <w:t>用途严格落实；项目规划论证符合中央、省委要求，项目绩效目标设置科学合理；项目资金与项目总体规划、相关行业事业发展相匹配，是聚焦重大任务、重点领域、重点环节和重点项目。</w:t>
      </w:r>
    </w:p>
    <w:p>
      <w:pPr>
        <w:spacing w:line="580" w:lineRule="exact"/>
        <w:ind w:firstLine="640" w:firstLineChars="200"/>
        <w:rPr>
          <w:rFonts w:hint="eastAsia" w:ascii="仿宋_GB2312" w:hAnsi="仿宋" w:eastAsia="仿宋_GB2312" w:cs="仿宋_GB2312"/>
          <w:sz w:val="32"/>
          <w:szCs w:val="32"/>
        </w:rPr>
      </w:pPr>
      <w:r>
        <w:rPr>
          <w:rFonts w:hint="eastAsia" w:ascii="仿宋_GB2312" w:hAnsi="仿宋" w:eastAsia="仿宋_GB2312" w:cs="仿宋_GB2312"/>
          <w:sz w:val="32"/>
          <w:szCs w:val="32"/>
          <w:lang w:eastAsia="zh-CN"/>
        </w:rPr>
        <w:t>（</w:t>
      </w:r>
      <w:r>
        <w:rPr>
          <w:rFonts w:hint="eastAsia" w:ascii="仿宋_GB2312" w:hAnsi="仿宋" w:eastAsia="仿宋_GB2312" w:cs="仿宋_GB2312"/>
          <w:sz w:val="32"/>
          <w:szCs w:val="32"/>
          <w:lang w:val="en-US" w:eastAsia="zh-CN"/>
        </w:rPr>
        <w:t>2</w:t>
      </w:r>
      <w:r>
        <w:rPr>
          <w:rFonts w:hint="eastAsia" w:ascii="仿宋_GB2312" w:hAnsi="仿宋" w:eastAsia="仿宋_GB2312" w:cs="仿宋_GB2312"/>
          <w:sz w:val="32"/>
          <w:szCs w:val="32"/>
          <w:lang w:eastAsia="zh-CN"/>
        </w:rPr>
        <w:t>）</w:t>
      </w:r>
      <w:r>
        <w:rPr>
          <w:rFonts w:hint="eastAsia" w:ascii="仿宋_GB2312" w:hAnsi="仿宋" w:eastAsia="仿宋_GB2312" w:cs="仿宋_GB2312"/>
          <w:sz w:val="32"/>
          <w:szCs w:val="32"/>
        </w:rPr>
        <w:t>绩效目标设置情况</w:t>
      </w:r>
    </w:p>
    <w:p>
      <w:pPr>
        <w:keepNext w:val="0"/>
        <w:keepLines w:val="0"/>
        <w:widowControl/>
        <w:suppressLineNumbers w:val="0"/>
        <w:ind w:firstLine="640" w:firstLineChars="200"/>
        <w:jc w:val="left"/>
        <w:rPr>
          <w:rFonts w:hint="eastAsia" w:ascii="仿宋_GB2312" w:hAnsi="仿宋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" w:eastAsia="仿宋_GB2312" w:cs="仿宋_GB2312"/>
          <w:sz w:val="32"/>
          <w:szCs w:val="32"/>
          <w:lang w:val="en-US" w:eastAsia="zh-CN"/>
        </w:rPr>
        <w:t>绩效目标设置整体概况：项目绩效目标以稳定粮食种植面积、提升产能、促进农户增收、推动农业绿色发展为核心。整体分为年度总体目标和细分量化指标，涵盖产出、效益、满意度三大指标维度，形成“总体引领、指标支撑、量化落地”的绩效目标体系，全面覆盖项目实施及成效全过程。</w:t>
      </w:r>
    </w:p>
    <w:p>
      <w:pPr>
        <w:keepNext w:val="0"/>
        <w:keepLines w:val="0"/>
        <w:widowControl/>
        <w:suppressLineNumbers w:val="0"/>
        <w:ind w:firstLine="640" w:firstLineChars="200"/>
        <w:jc w:val="left"/>
        <w:rPr>
          <w:rFonts w:hint="eastAsia" w:ascii="仿宋_GB2312" w:hAnsi="仿宋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" w:eastAsia="仿宋_GB2312" w:cs="仿宋_GB2312"/>
          <w:sz w:val="32"/>
          <w:szCs w:val="32"/>
          <w:lang w:val="en-US" w:eastAsia="zh-CN"/>
        </w:rPr>
        <w:t>绩效目标设置的明确性：项目绩效目标整体指向清晰、界定规范、可考可测，明确性较好。一是总体目标定位精准，紧扣稳粮保供、助农增收的政策初衷，贴合粮食安全工作要求，有效统领项目实施。二是细分指标维度齐全，数量、质量、时效、成本、效益、满意度各项指标定义清晰、边界清楚、口径统一，无模糊歧义表述。三是指标量化程度高，对粮食单产、补贴覆盖范围、群众满意度等关键指标设置具体量化值，明确统计和核验标准，为绩效监控和考核评价提供清晰依据，避免考核虚化。</w:t>
      </w:r>
    </w:p>
    <w:p>
      <w:pPr>
        <w:keepNext w:val="0"/>
        <w:keepLines w:val="0"/>
        <w:widowControl/>
        <w:suppressLineNumbers w:val="0"/>
        <w:ind w:firstLine="640" w:firstLineChars="200"/>
        <w:jc w:val="left"/>
        <w:rPr>
          <w:rFonts w:hint="eastAsia" w:ascii="仿宋_GB2312" w:hAnsi="仿宋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" w:eastAsia="仿宋_GB2312" w:cs="仿宋_GB2312"/>
          <w:sz w:val="32"/>
          <w:szCs w:val="32"/>
          <w:lang w:val="en-US" w:eastAsia="zh-CN"/>
        </w:rPr>
        <w:t>绩效目标设置的合理性：项目绩效目标结合本地耕地条件、种粮规模、财政资金额度及产业发展规律设置，科学合理、贴合实际。一是政策贴合度高，完全对标粮食安全考核、财政支出绩效管理及种粮补贴专项规定，导向合规、无偏离。二是实操可行性强，指标数值结合历年实施成效和生产潜力测算，设置适度合理，既具备激励作用，又符合农业生产客观规律，可落地、可实现。三是体系逻辑严密，产出指标反映项目实施成果，效益指标体现长效价值，满意度指标校验服务质效，各指标层层衔接、闭环互补，全面反映项目实施成效。四是资责匹配度高，绩效目标任务与年度预算资金规模高度适配，资金配置与工作任务对应，能够有效发挥财政资金撬动规模种粮的作用。</w:t>
      </w:r>
    </w:p>
    <w:p>
      <w:pPr>
        <w:spacing w:line="580" w:lineRule="exact"/>
        <w:ind w:firstLine="640" w:firstLineChars="200"/>
        <w:rPr>
          <w:rFonts w:ascii="仿宋_GB2312" w:hAnsi="仿宋" w:eastAsia="仿宋_GB2312" w:cs="仿宋_GB2312"/>
          <w:sz w:val="32"/>
          <w:szCs w:val="32"/>
        </w:rPr>
      </w:pPr>
      <w:r>
        <w:rPr>
          <w:rFonts w:hint="eastAsia" w:ascii="仿宋_GB2312" w:hAnsi="仿宋" w:eastAsia="仿宋_GB2312" w:cs="仿宋_GB2312"/>
          <w:sz w:val="32"/>
          <w:szCs w:val="32"/>
        </w:rPr>
        <w:t>2、项目管理</w:t>
      </w:r>
    </w:p>
    <w:p>
      <w:pPr>
        <w:spacing w:line="580" w:lineRule="exact"/>
        <w:ind w:firstLine="640" w:firstLineChars="200"/>
      </w:pPr>
      <w:r>
        <w:rPr>
          <w:rFonts w:hint="eastAsia" w:ascii="仿宋_GB2312" w:hAnsi="仿宋" w:eastAsia="仿宋_GB2312" w:cs="仿宋_GB2312"/>
          <w:sz w:val="32"/>
          <w:szCs w:val="32"/>
          <w:lang w:val="zh-CN" w:eastAsia="zh-CN"/>
        </w:rPr>
        <w:t>项目资金分配情况：</w:t>
      </w:r>
      <w:r>
        <w:rPr>
          <w:rFonts w:hint="eastAsia" w:ascii="仿宋_GB2312" w:hAnsi="仿宋" w:eastAsia="仿宋_GB2312" w:cs="仿宋_GB2312"/>
          <w:sz w:val="32"/>
          <w:szCs w:val="32"/>
          <w:lang w:val="en-US" w:eastAsia="zh-CN"/>
        </w:rPr>
        <w:t>分配资金50.036万元。</w:t>
      </w:r>
      <w:r>
        <w:rPr>
          <w:rFonts w:hint="eastAsia" w:ascii="仿宋_GB2312" w:hAnsi="仿宋" w:eastAsia="仿宋_GB2312" w:cs="仿宋_GB2312"/>
          <w:sz w:val="32"/>
          <w:szCs w:val="32"/>
          <w:lang w:eastAsia="zh-CN"/>
        </w:rPr>
        <w:t>严格按照</w:t>
      </w:r>
      <w:r>
        <w:rPr>
          <w:rFonts w:hint="eastAsia" w:ascii="仿宋_GB2312" w:hAnsi="仿宋" w:eastAsia="仿宋_GB2312" w:cs="仿宋_GB2312"/>
          <w:sz w:val="32"/>
          <w:szCs w:val="32"/>
          <w:lang w:val="en-US" w:eastAsia="zh-CN"/>
        </w:rPr>
        <w:t>补贴标准</w:t>
      </w:r>
      <w:r>
        <w:rPr>
          <w:rFonts w:hint="eastAsia" w:ascii="仿宋_GB2312" w:hAnsi="仿宋" w:eastAsia="仿宋_GB2312" w:cs="仿宋_GB2312"/>
          <w:sz w:val="32"/>
          <w:szCs w:val="32"/>
          <w:lang w:eastAsia="zh-CN"/>
        </w:rPr>
        <w:t>进行支付，支付依据合规合法，资金支付与预算相符</w:t>
      </w:r>
      <w:r>
        <w:rPr>
          <w:rFonts w:hint="eastAsia" w:ascii="仿宋_GB2312" w:hAnsi="仿宋" w:eastAsia="仿宋_GB2312" w:cs="仿宋_GB2312"/>
          <w:sz w:val="32"/>
          <w:szCs w:val="32"/>
        </w:rPr>
        <w:t>。</w:t>
      </w:r>
      <w:r>
        <w:rPr>
          <w:rFonts w:hint="eastAsia" w:ascii="仿宋_GB2312" w:hAnsi="仿宋" w:eastAsia="仿宋_GB2312" w:cs="仿宋_GB2312"/>
          <w:sz w:val="32"/>
          <w:szCs w:val="32"/>
          <w:lang w:eastAsia="zh-CN"/>
        </w:rPr>
        <w:t>完成</w:t>
      </w:r>
      <w:r>
        <w:rPr>
          <w:rFonts w:hint="eastAsia" w:ascii="仿宋_GB2312" w:hAnsi="仿宋" w:eastAsia="仿宋_GB2312" w:cs="仿宋_GB2312"/>
          <w:sz w:val="32"/>
          <w:szCs w:val="32"/>
          <w:lang w:val="en-US" w:eastAsia="zh-CN"/>
        </w:rPr>
        <w:t>发放种粮大户</w:t>
      </w:r>
      <w:r>
        <w:rPr>
          <w:rFonts w:hint="eastAsia" w:ascii="仿宋_GB2312" w:hAnsi="仿宋" w:eastAsia="仿宋_GB2312" w:cs="仿宋_GB2312"/>
          <w:sz w:val="32"/>
          <w:szCs w:val="32"/>
        </w:rPr>
        <w:t>补贴面积</w:t>
      </w:r>
      <w:r>
        <w:rPr>
          <w:rFonts w:hint="eastAsia" w:ascii="仿宋_GB2312" w:hAnsi="仿宋" w:eastAsia="仿宋_GB2312" w:cs="仿宋_GB2312"/>
          <w:sz w:val="32"/>
          <w:szCs w:val="32"/>
          <w:lang w:val="en-US" w:eastAsia="zh-CN"/>
        </w:rPr>
        <w:t>2497.8</w:t>
      </w:r>
      <w:r>
        <w:rPr>
          <w:rFonts w:hint="eastAsia" w:ascii="仿宋_GB2312" w:hAnsi="仿宋" w:eastAsia="仿宋_GB2312" w:cs="仿宋_GB2312"/>
          <w:sz w:val="32"/>
          <w:szCs w:val="32"/>
        </w:rPr>
        <w:t>亩</w:t>
      </w:r>
      <w:r>
        <w:rPr>
          <w:rFonts w:hint="eastAsia" w:ascii="仿宋_GB2312" w:hAnsi="仿宋" w:eastAsia="仿宋_GB2312" w:cs="仿宋_GB2312"/>
          <w:sz w:val="32"/>
          <w:szCs w:val="32"/>
          <w:lang w:eastAsia="zh-CN"/>
        </w:rPr>
        <w:t>，</w:t>
      </w:r>
      <w:r>
        <w:rPr>
          <w:rFonts w:hint="eastAsia" w:ascii="仿宋_GB2312" w:hAnsi="仿宋" w:eastAsia="仿宋_GB2312" w:cs="仿宋_GB2312"/>
          <w:sz w:val="32"/>
          <w:szCs w:val="32"/>
          <w:lang w:val="en-US" w:eastAsia="zh-CN"/>
        </w:rPr>
        <w:t>发放补贴标准200元/亩。</w:t>
      </w:r>
    </w:p>
    <w:p>
      <w:pPr>
        <w:spacing w:line="580" w:lineRule="exact"/>
        <w:ind w:firstLine="640" w:firstLineChars="200"/>
        <w:rPr>
          <w:rFonts w:ascii="仿宋_GB2312" w:hAnsi="仿宋" w:eastAsia="仿宋_GB2312" w:cs="仿宋_GB2312"/>
          <w:sz w:val="32"/>
          <w:szCs w:val="32"/>
        </w:rPr>
      </w:pPr>
      <w:r>
        <w:rPr>
          <w:rFonts w:hint="eastAsia" w:ascii="仿宋_GB2312" w:hAnsi="仿宋" w:eastAsia="仿宋_GB2312" w:cs="仿宋_GB2312"/>
          <w:sz w:val="32"/>
          <w:szCs w:val="32"/>
        </w:rPr>
        <w:t>3、项目绩效</w:t>
      </w:r>
    </w:p>
    <w:tbl>
      <w:tblPr>
        <w:tblStyle w:val="13"/>
        <w:tblW w:w="10233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652"/>
        <w:gridCol w:w="1081"/>
        <w:gridCol w:w="1250"/>
        <w:gridCol w:w="1312"/>
        <w:gridCol w:w="1127"/>
        <w:gridCol w:w="971"/>
        <w:gridCol w:w="1061"/>
        <w:gridCol w:w="938"/>
        <w:gridCol w:w="1841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76" w:hRule="atLeast"/>
          <w:jc w:val="center"/>
        </w:trPr>
        <w:tc>
          <w:tcPr>
            <w:tcW w:w="10233" w:type="dxa"/>
            <w:gridSpan w:val="9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/>
              <w:jc w:val="center"/>
              <w:textAlignment w:val="center"/>
              <w:rPr>
                <w:rFonts w:ascii="黑体" w:hAnsi="宋体" w:eastAsia="黑体" w:cs="黑体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i w:val="0"/>
                <w:color w:val="000000"/>
                <w:kern w:val="0"/>
                <w:sz w:val="40"/>
                <w:szCs w:val="40"/>
                <w:u w:val="none"/>
                <w:lang w:val="en-US" w:eastAsia="zh-CN" w:bidi="ar"/>
              </w:rPr>
              <w:t>项目目标完成情况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4295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项目名称</w:t>
            </w:r>
          </w:p>
        </w:tc>
        <w:tc>
          <w:tcPr>
            <w:tcW w:w="5938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黑水县2025年种粮大户补贴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4295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预算单位</w:t>
            </w:r>
          </w:p>
        </w:tc>
        <w:tc>
          <w:tcPr>
            <w:tcW w:w="5938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rPr>
                <w:rFonts w:hint="default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黑水县农业农村水利和科技局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4295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项目类型</w:t>
            </w:r>
          </w:p>
        </w:tc>
        <w:tc>
          <w:tcPr>
            <w:tcW w:w="5938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65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项目 概况</w:t>
            </w:r>
          </w:p>
        </w:tc>
        <w:tc>
          <w:tcPr>
            <w:tcW w:w="364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textAlignment w:val="center"/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中长期规划（名称、文号，仅指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常年项目）</w:t>
            </w:r>
          </w:p>
        </w:tc>
        <w:tc>
          <w:tcPr>
            <w:tcW w:w="5938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65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64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资金管理办法（名称、文号）</w:t>
            </w:r>
          </w:p>
        </w:tc>
        <w:tc>
          <w:tcPr>
            <w:tcW w:w="5938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65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64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绩效分配方式</w:t>
            </w:r>
          </w:p>
        </w:tc>
        <w:tc>
          <w:tcPr>
            <w:tcW w:w="11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textAlignment w:val="center"/>
              <w:rPr>
                <w:rFonts w:ascii="Wingdings 2" w:hAnsi="Wingdings 2" w:eastAsia="Wingdings 2" w:cs="Wingdings 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Wingdings 2" w:hAnsi="Wingdings 2" w:eastAsia="Wingdings 2" w:cs="Wingdings 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£</w:t>
            </w: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因素法</w:t>
            </w:r>
          </w:p>
        </w:tc>
        <w:tc>
          <w:tcPr>
            <w:tcW w:w="203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hint="default" w:ascii="Wingdings 2" w:hAnsi="Wingdings 2" w:eastAsia="Wingdings 2" w:cs="Wingdings 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Wingdings 2" w:hAnsi="Wingdings 2" w:eastAsia="Wingdings 2" w:cs="Wingdings 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£项目法</w:t>
            </w:r>
          </w:p>
        </w:tc>
        <w:tc>
          <w:tcPr>
            <w:tcW w:w="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hint="default" w:ascii="Wingdings 2" w:hAnsi="Wingdings 2" w:eastAsia="Wingdings 2" w:cs="Wingdings 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Wingdings 2" w:hAnsi="Wingdings 2" w:eastAsia="Wingdings 2" w:cs="Wingdings 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£</w:t>
            </w: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据实据效</w:t>
            </w:r>
          </w:p>
        </w:tc>
        <w:tc>
          <w:tcPr>
            <w:tcW w:w="1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hint="default" w:ascii="Wingdings 2" w:hAnsi="Wingdings 2" w:eastAsia="Wingdings 2" w:cs="Wingdings 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Wingdings 2" w:hAnsi="Wingdings 2" w:eastAsia="Wingdings 2" w:cs="Wingdings 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£</w:t>
            </w: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因素法与项目法相结合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65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64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立项依据</w:t>
            </w:r>
          </w:p>
        </w:tc>
        <w:tc>
          <w:tcPr>
            <w:tcW w:w="5938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65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64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使用范围</w:t>
            </w:r>
          </w:p>
        </w:tc>
        <w:tc>
          <w:tcPr>
            <w:tcW w:w="5938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65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64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申报（补助）条件</w:t>
            </w:r>
          </w:p>
        </w:tc>
        <w:tc>
          <w:tcPr>
            <w:tcW w:w="5938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65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64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项目起止年限</w:t>
            </w:r>
          </w:p>
        </w:tc>
        <w:tc>
          <w:tcPr>
            <w:tcW w:w="5938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rPr>
                <w:rFonts w:hint="default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2025年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1733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项目资金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（万元）</w:t>
            </w:r>
          </w:p>
        </w:tc>
        <w:tc>
          <w:tcPr>
            <w:tcW w:w="256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年度资金总额：</w:t>
            </w:r>
          </w:p>
        </w:tc>
        <w:tc>
          <w:tcPr>
            <w:tcW w:w="5938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right"/>
              <w:rPr>
                <w:rFonts w:hint="default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50.036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1733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56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  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</w:t>
            </w: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其中：财政拨款</w:t>
            </w:r>
          </w:p>
        </w:tc>
        <w:tc>
          <w:tcPr>
            <w:tcW w:w="5938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right"/>
              <w:rPr>
                <w:rFonts w:hint="default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50.036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1733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56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         其他资金</w:t>
            </w:r>
          </w:p>
        </w:tc>
        <w:tc>
          <w:tcPr>
            <w:tcW w:w="5938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right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65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总体 目标</w:t>
            </w:r>
          </w:p>
        </w:tc>
        <w:tc>
          <w:tcPr>
            <w:tcW w:w="9581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年度目标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65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581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eastAsia="zh-CN"/>
              </w:rPr>
              <w:t>完成</w:t>
            </w: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种粮大户</w:t>
            </w: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eastAsia="zh-CN"/>
              </w:rPr>
              <w:t>补贴面积</w:t>
            </w: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1320.48</w:t>
            </w: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eastAsia="zh-CN"/>
              </w:rPr>
              <w:t>亩。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65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绩效 指标</w:t>
            </w:r>
          </w:p>
        </w:tc>
        <w:tc>
          <w:tcPr>
            <w:tcW w:w="10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一级指标</w:t>
            </w:r>
          </w:p>
        </w:tc>
        <w:tc>
          <w:tcPr>
            <w:tcW w:w="1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二级指标</w:t>
            </w:r>
          </w:p>
        </w:tc>
        <w:tc>
          <w:tcPr>
            <w:tcW w:w="13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三级指标</w:t>
            </w:r>
          </w:p>
        </w:tc>
        <w:tc>
          <w:tcPr>
            <w:tcW w:w="11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指标性质</w:t>
            </w:r>
          </w:p>
        </w:tc>
        <w:tc>
          <w:tcPr>
            <w:tcW w:w="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指标值</w:t>
            </w:r>
          </w:p>
        </w:tc>
        <w:tc>
          <w:tcPr>
            <w:tcW w:w="10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度量单位</w:t>
            </w:r>
          </w:p>
        </w:tc>
        <w:tc>
          <w:tcPr>
            <w:tcW w:w="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权重</w:t>
            </w:r>
          </w:p>
        </w:tc>
        <w:tc>
          <w:tcPr>
            <w:tcW w:w="1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实际完成指标值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65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8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产出指标</w:t>
            </w:r>
          </w:p>
        </w:tc>
        <w:tc>
          <w:tcPr>
            <w:tcW w:w="125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数量指标</w:t>
            </w:r>
          </w:p>
        </w:tc>
        <w:tc>
          <w:tcPr>
            <w:tcW w:w="13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rPr>
                <w:rFonts w:hint="default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补贴面积</w:t>
            </w:r>
          </w:p>
        </w:tc>
        <w:tc>
          <w:tcPr>
            <w:tcW w:w="11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≥</w:t>
            </w:r>
          </w:p>
        </w:tc>
        <w:tc>
          <w:tcPr>
            <w:tcW w:w="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default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2</w:t>
            </w: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497.8</w:t>
            </w:r>
          </w:p>
        </w:tc>
        <w:tc>
          <w:tcPr>
            <w:tcW w:w="10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亩</w:t>
            </w:r>
          </w:p>
        </w:tc>
        <w:tc>
          <w:tcPr>
            <w:tcW w:w="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default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20</w:t>
            </w:r>
          </w:p>
        </w:tc>
        <w:tc>
          <w:tcPr>
            <w:tcW w:w="1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default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2497.8亩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65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8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rPr>
                <w:rFonts w:hint="default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补贴标准</w:t>
            </w:r>
          </w:p>
        </w:tc>
        <w:tc>
          <w:tcPr>
            <w:tcW w:w="11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bookmarkStart w:id="1" w:name="OLE_LINK19"/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≥</w:t>
            </w:r>
            <w:bookmarkEnd w:id="1"/>
          </w:p>
        </w:tc>
        <w:tc>
          <w:tcPr>
            <w:tcW w:w="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default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200</w:t>
            </w:r>
          </w:p>
        </w:tc>
        <w:tc>
          <w:tcPr>
            <w:tcW w:w="10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  <w:t>元/亩</w:t>
            </w:r>
          </w:p>
        </w:tc>
        <w:tc>
          <w:tcPr>
            <w:tcW w:w="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default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20</w:t>
            </w:r>
          </w:p>
        </w:tc>
        <w:tc>
          <w:tcPr>
            <w:tcW w:w="1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default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200</w:t>
            </w: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  <w:t>元/亩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65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8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时效指标</w:t>
            </w:r>
          </w:p>
        </w:tc>
        <w:tc>
          <w:tcPr>
            <w:tcW w:w="13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rPr>
                <w:rFonts w:hint="default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完成及时率</w:t>
            </w:r>
          </w:p>
        </w:tc>
        <w:tc>
          <w:tcPr>
            <w:tcW w:w="11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≥</w:t>
            </w:r>
          </w:p>
        </w:tc>
        <w:tc>
          <w:tcPr>
            <w:tcW w:w="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default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100</w:t>
            </w:r>
          </w:p>
        </w:tc>
        <w:tc>
          <w:tcPr>
            <w:tcW w:w="10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%</w:t>
            </w:r>
          </w:p>
        </w:tc>
        <w:tc>
          <w:tcPr>
            <w:tcW w:w="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default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20</w:t>
            </w:r>
          </w:p>
        </w:tc>
        <w:tc>
          <w:tcPr>
            <w:tcW w:w="1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default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100%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65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8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效益指标</w:t>
            </w:r>
          </w:p>
        </w:tc>
        <w:tc>
          <w:tcPr>
            <w:tcW w:w="1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经济效益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指标</w:t>
            </w:r>
          </w:p>
        </w:tc>
        <w:tc>
          <w:tcPr>
            <w:tcW w:w="13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rPr>
                <w:rFonts w:hint="default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受益农户增收</w:t>
            </w:r>
          </w:p>
        </w:tc>
        <w:tc>
          <w:tcPr>
            <w:tcW w:w="11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≥</w:t>
            </w:r>
          </w:p>
        </w:tc>
        <w:tc>
          <w:tcPr>
            <w:tcW w:w="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default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200</w:t>
            </w:r>
          </w:p>
        </w:tc>
        <w:tc>
          <w:tcPr>
            <w:tcW w:w="10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default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元/亩</w:t>
            </w:r>
          </w:p>
        </w:tc>
        <w:tc>
          <w:tcPr>
            <w:tcW w:w="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default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10</w:t>
            </w:r>
          </w:p>
        </w:tc>
        <w:tc>
          <w:tcPr>
            <w:tcW w:w="1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default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200元/亩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65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8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50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社会效益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指标</w:t>
            </w:r>
          </w:p>
        </w:tc>
        <w:tc>
          <w:tcPr>
            <w:tcW w:w="13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rPr>
                <w:rFonts w:hint="default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提高种粮积极性</w:t>
            </w:r>
          </w:p>
        </w:tc>
        <w:tc>
          <w:tcPr>
            <w:tcW w:w="11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提高</w:t>
            </w:r>
          </w:p>
        </w:tc>
        <w:tc>
          <w:tcPr>
            <w:tcW w:w="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提高</w:t>
            </w:r>
          </w:p>
        </w:tc>
        <w:tc>
          <w:tcPr>
            <w:tcW w:w="10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default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10</w:t>
            </w:r>
          </w:p>
        </w:tc>
        <w:tc>
          <w:tcPr>
            <w:tcW w:w="1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提高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65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81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满意度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指标</w:t>
            </w:r>
          </w:p>
        </w:tc>
        <w:tc>
          <w:tcPr>
            <w:tcW w:w="1250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服务对象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满意度指标</w:t>
            </w:r>
          </w:p>
        </w:tc>
        <w:tc>
          <w:tcPr>
            <w:tcW w:w="13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rPr>
                <w:rFonts w:hint="default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受益农户满意度</w:t>
            </w:r>
          </w:p>
        </w:tc>
        <w:tc>
          <w:tcPr>
            <w:tcW w:w="11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≥</w:t>
            </w:r>
          </w:p>
        </w:tc>
        <w:tc>
          <w:tcPr>
            <w:tcW w:w="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default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96</w:t>
            </w:r>
          </w:p>
        </w:tc>
        <w:tc>
          <w:tcPr>
            <w:tcW w:w="10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%</w:t>
            </w:r>
          </w:p>
        </w:tc>
        <w:tc>
          <w:tcPr>
            <w:tcW w:w="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default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10</w:t>
            </w:r>
          </w:p>
        </w:tc>
        <w:tc>
          <w:tcPr>
            <w:tcW w:w="1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default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96%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65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成本指标</w:t>
            </w:r>
          </w:p>
        </w:tc>
        <w:tc>
          <w:tcPr>
            <w:tcW w:w="1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经济成本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指标</w:t>
            </w:r>
          </w:p>
        </w:tc>
        <w:tc>
          <w:tcPr>
            <w:tcW w:w="1312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rPr>
                <w:rFonts w:hint="default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补贴成本</w:t>
            </w:r>
          </w:p>
        </w:tc>
        <w:tc>
          <w:tcPr>
            <w:tcW w:w="11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≤</w:t>
            </w:r>
          </w:p>
        </w:tc>
        <w:tc>
          <w:tcPr>
            <w:tcW w:w="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default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200</w:t>
            </w:r>
          </w:p>
        </w:tc>
        <w:tc>
          <w:tcPr>
            <w:tcW w:w="10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元/亩</w:t>
            </w:r>
          </w:p>
        </w:tc>
        <w:tc>
          <w:tcPr>
            <w:tcW w:w="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default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10</w:t>
            </w:r>
          </w:p>
        </w:tc>
        <w:tc>
          <w:tcPr>
            <w:tcW w:w="1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200元/亩</w:t>
            </w:r>
          </w:p>
        </w:tc>
      </w:tr>
    </w:tbl>
    <w:p>
      <w:pPr>
        <w:spacing w:line="580" w:lineRule="exact"/>
        <w:ind w:firstLine="640" w:firstLineChars="200"/>
        <w:rPr>
          <w:rFonts w:ascii="仿宋_GB2312" w:hAnsi="仿宋" w:eastAsia="仿宋_GB2312" w:cs="仿宋_GB2312"/>
          <w:sz w:val="32"/>
          <w:szCs w:val="32"/>
        </w:rPr>
      </w:pPr>
    </w:p>
    <w:p>
      <w:pPr>
        <w:keepNext w:val="0"/>
        <w:keepLines w:val="0"/>
        <w:widowControl/>
        <w:suppressLineNumbers w:val="0"/>
        <w:ind w:firstLine="640" w:firstLineChars="200"/>
        <w:jc w:val="left"/>
        <w:rPr>
          <w:rFonts w:hint="eastAsia" w:ascii="仿宋_GB2312" w:hAnsi="仿宋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" w:eastAsia="仿宋_GB2312" w:cs="仿宋_GB2312"/>
          <w:sz w:val="32"/>
          <w:szCs w:val="32"/>
          <w:lang w:val="en-US" w:eastAsia="zh-CN"/>
        </w:rPr>
        <w:t>三、存在主要问题</w:t>
      </w:r>
    </w:p>
    <w:p>
      <w:pPr>
        <w:keepNext w:val="0"/>
        <w:keepLines w:val="0"/>
        <w:widowControl/>
        <w:suppressLineNumbers w:val="0"/>
        <w:ind w:firstLine="640" w:firstLineChars="200"/>
        <w:jc w:val="left"/>
        <w:rPr>
          <w:rFonts w:hint="eastAsia" w:ascii="仿宋_GB2312" w:hAnsi="仿宋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" w:eastAsia="仿宋_GB2312" w:cs="仿宋_GB2312"/>
          <w:sz w:val="32"/>
          <w:szCs w:val="32"/>
          <w:lang w:val="en-US" w:eastAsia="zh-CN"/>
        </w:rPr>
        <w:t>无</w:t>
      </w:r>
    </w:p>
    <w:p>
      <w:pPr>
        <w:keepNext w:val="0"/>
        <w:keepLines w:val="0"/>
        <w:widowControl/>
        <w:suppressLineNumbers w:val="0"/>
        <w:ind w:firstLine="640" w:firstLineChars="200"/>
        <w:jc w:val="left"/>
        <w:rPr>
          <w:rFonts w:hint="eastAsia" w:ascii="仿宋_GB2312" w:hAnsi="仿宋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" w:eastAsia="仿宋_GB2312" w:cs="仿宋_GB2312"/>
          <w:sz w:val="32"/>
          <w:szCs w:val="32"/>
          <w:lang w:val="en-US" w:eastAsia="zh-CN"/>
        </w:rPr>
        <w:t>四、相关措施建议</w:t>
      </w:r>
    </w:p>
    <w:p>
      <w:pPr>
        <w:keepNext w:val="0"/>
        <w:keepLines w:val="0"/>
        <w:widowControl/>
        <w:suppressLineNumbers w:val="0"/>
        <w:ind w:firstLine="640" w:firstLineChars="200"/>
        <w:jc w:val="left"/>
        <w:rPr>
          <w:rFonts w:hint="eastAsia" w:ascii="仿宋_GB2312" w:hAnsi="仿宋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" w:eastAsia="仿宋_GB2312" w:cs="仿宋_GB2312"/>
          <w:sz w:val="32"/>
          <w:szCs w:val="32"/>
          <w:lang w:val="en-US" w:eastAsia="zh-CN"/>
        </w:rPr>
        <w:t>无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00007A87" w:usb1="80000000" w:usb2="00000008" w:usb3="00000000" w:csb0="400001FF" w:csb1="FFFF0000"/>
  </w:font>
  <w:font w:name="宋体">
    <w:altName w:val="方正书宋_GBK"/>
    <w:panose1 w:val="02010600030101010101"/>
    <w:charset w:val="7A"/>
    <w:family w:val="auto"/>
    <w:pitch w:val="default"/>
    <w:sig w:usb0="00000000" w:usb1="0000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">
    <w:altName w:val="方正仿宋_GBK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微软雅黑">
    <w:altName w:val="方正黑体_GBK"/>
    <w:panose1 w:val="020B0503020204020204"/>
    <w:charset w:val="86"/>
    <w:family w:val="auto"/>
    <w:pitch w:val="default"/>
    <w:sig w:usb0="00000000" w:usb1="00000000" w:usb2="00000016" w:usb3="00000000" w:csb0="0004001F" w:csb1="00000000"/>
  </w:font>
  <w:font w:name="Wingdings 2">
    <w:panose1 w:val="05020102010507070707"/>
    <w:charset w:val="00"/>
    <w:family w:val="auto"/>
    <w:pitch w:val="default"/>
    <w:sig w:usb0="00000000" w:usb1="0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gzNmEyOTFjMjZjODc0OGIyZjk3N2Q1Zjc3YWU5MjEifQ=="/>
  </w:docVars>
  <w:rsids>
    <w:rsidRoot w:val="004C22EC"/>
    <w:rsid w:val="004C22EC"/>
    <w:rsid w:val="007B38C6"/>
    <w:rsid w:val="100566B3"/>
    <w:rsid w:val="1B4A3EC4"/>
    <w:rsid w:val="1EFE0F6F"/>
    <w:rsid w:val="1F887BDD"/>
    <w:rsid w:val="2439349C"/>
    <w:rsid w:val="244E01D1"/>
    <w:rsid w:val="24FE0288"/>
    <w:rsid w:val="33DA011B"/>
    <w:rsid w:val="358B1B11"/>
    <w:rsid w:val="3CB7B9ED"/>
    <w:rsid w:val="3FBF5519"/>
    <w:rsid w:val="3FE96904"/>
    <w:rsid w:val="423607D0"/>
    <w:rsid w:val="4721A464"/>
    <w:rsid w:val="4A0B0DD8"/>
    <w:rsid w:val="4C3823A3"/>
    <w:rsid w:val="53DEC76E"/>
    <w:rsid w:val="55704B34"/>
    <w:rsid w:val="57B166CC"/>
    <w:rsid w:val="5DBC40E7"/>
    <w:rsid w:val="5FFBD9C9"/>
    <w:rsid w:val="655F8884"/>
    <w:rsid w:val="6EE5F100"/>
    <w:rsid w:val="76F584B1"/>
    <w:rsid w:val="77991202"/>
    <w:rsid w:val="77BD8AE6"/>
    <w:rsid w:val="7BF71AC9"/>
    <w:rsid w:val="7E1E5AEA"/>
    <w:rsid w:val="7EE69045"/>
    <w:rsid w:val="7EFDF224"/>
    <w:rsid w:val="7FF09C02"/>
    <w:rsid w:val="7FFE51CC"/>
    <w:rsid w:val="B707AA7E"/>
    <w:rsid w:val="CADE5E49"/>
    <w:rsid w:val="CBFFF2E4"/>
    <w:rsid w:val="DBFB1551"/>
    <w:rsid w:val="E67332EE"/>
    <w:rsid w:val="E9FB5406"/>
    <w:rsid w:val="F3BF09E8"/>
    <w:rsid w:val="F47E3572"/>
    <w:rsid w:val="F78772F9"/>
    <w:rsid w:val="F7F6EC27"/>
    <w:rsid w:val="FBF7FBEA"/>
    <w:rsid w:val="FEBF4427"/>
    <w:rsid w:val="FEED58A9"/>
    <w:rsid w:val="FFF75911"/>
    <w:rsid w:val="FFFEF4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qFormat="1" w:unhideWhenUsed="0" w:uiPriority="0" w:semiHidden="0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99" w:semiHidden="0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qFormat="1" w:uiPriority="99" w:semiHidden="0" w:name="Salutation"/>
    <w:lsdException w:uiPriority="99" w:name="Date"/>
    <w:lsdException w:uiPriority="99" w:name="Body Text First Indent"/>
    <w:lsdException w:qFormat="1" w:uiPriority="99" w:semiHidden="0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qFormat="1" w:unhideWhenUsed="0" w:uiPriority="0" w:semiHidden="0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3">
    <w:name w:val="heading 1"/>
    <w:basedOn w:val="1"/>
    <w:next w:val="1"/>
    <w:link w:val="17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4">
    <w:name w:val="heading 2"/>
    <w:basedOn w:val="1"/>
    <w:next w:val="1"/>
    <w:semiHidden/>
    <w:unhideWhenUsed/>
    <w:qFormat/>
    <w:uiPriority w:val="9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character" w:default="1" w:styleId="14">
    <w:name w:val="Default Paragraph Font"/>
    <w:semiHidden/>
    <w:unhideWhenUsed/>
    <w:qFormat/>
    <w:uiPriority w:val="1"/>
  </w:style>
  <w:style w:type="table" w:default="1" w:styleId="1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标题 5（有编号）（绿盟科技）"/>
    <w:next w:val="1"/>
    <w:qFormat/>
    <w:uiPriority w:val="99"/>
    <w:pPr>
      <w:keepNext/>
      <w:keepLines/>
      <w:widowControl w:val="0"/>
      <w:spacing w:before="280" w:after="156" w:line="377" w:lineRule="auto"/>
      <w:outlineLvl w:val="4"/>
    </w:pPr>
    <w:rPr>
      <w:rFonts w:ascii="Arial" w:hAnsi="Arial" w:eastAsia="黑体" w:cs="Times New Roman"/>
      <w:b/>
      <w:kern w:val="2"/>
      <w:sz w:val="24"/>
      <w:szCs w:val="28"/>
      <w:lang w:val="en-US" w:eastAsia="zh-CN" w:bidi="ar-SA"/>
    </w:rPr>
  </w:style>
  <w:style w:type="paragraph" w:styleId="5">
    <w:name w:val="Document Map"/>
    <w:basedOn w:val="1"/>
    <w:next w:val="1"/>
    <w:qFormat/>
    <w:uiPriority w:val="0"/>
    <w:rPr>
      <w:rFonts w:ascii="宋体" w:eastAsia="宋体"/>
      <w:sz w:val="18"/>
      <w:szCs w:val="18"/>
    </w:rPr>
  </w:style>
  <w:style w:type="paragraph" w:styleId="6">
    <w:name w:val="Salutation"/>
    <w:basedOn w:val="1"/>
    <w:next w:val="1"/>
    <w:unhideWhenUsed/>
    <w:qFormat/>
    <w:uiPriority w:val="99"/>
  </w:style>
  <w:style w:type="paragraph" w:styleId="7">
    <w:name w:val="Body Text"/>
    <w:basedOn w:val="1"/>
    <w:qFormat/>
    <w:uiPriority w:val="99"/>
    <w:pPr>
      <w:widowControl/>
      <w:tabs>
        <w:tab w:val="left" w:pos="2160"/>
      </w:tabs>
      <w:spacing w:line="480" w:lineRule="auto"/>
      <w:jc w:val="left"/>
    </w:pPr>
    <w:rPr>
      <w:rFonts w:ascii="楷体_GB2312" w:eastAsia="黑体"/>
      <w:kern w:val="0"/>
      <w:position w:val="3"/>
      <w:sz w:val="20"/>
      <w:szCs w:val="20"/>
      <w:lang w:eastAsia="en-US"/>
    </w:rPr>
  </w:style>
  <w:style w:type="paragraph" w:styleId="8">
    <w:name w:val="Body Text Indent"/>
    <w:basedOn w:val="1"/>
    <w:next w:val="9"/>
    <w:qFormat/>
    <w:uiPriority w:val="0"/>
    <w:pPr>
      <w:spacing w:after="120"/>
      <w:ind w:leftChars="200"/>
    </w:pPr>
    <w:rPr>
      <w:rFonts w:ascii="仿宋_GB2312"/>
      <w:szCs w:val="32"/>
    </w:rPr>
  </w:style>
  <w:style w:type="paragraph" w:styleId="9">
    <w:name w:val="toc 3"/>
    <w:basedOn w:val="1"/>
    <w:next w:val="1"/>
    <w:qFormat/>
    <w:uiPriority w:val="0"/>
    <w:pPr>
      <w:ind w:left="840"/>
    </w:pPr>
    <w:rPr>
      <w:rFonts w:ascii="黑体" w:eastAsia="黑体"/>
      <w:b/>
      <w:bCs/>
      <w:sz w:val="32"/>
      <w:szCs w:val="32"/>
    </w:rPr>
  </w:style>
  <w:style w:type="paragraph" w:styleId="10">
    <w:name w:val="footer"/>
    <w:basedOn w:val="1"/>
    <w:link w:val="16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11">
    <w:name w:val="header"/>
    <w:basedOn w:val="1"/>
    <w:next w:val="5"/>
    <w:link w:val="15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paragraph" w:styleId="12">
    <w:name w:val="Body Text First Indent 2"/>
    <w:basedOn w:val="8"/>
    <w:next w:val="1"/>
    <w:unhideWhenUsed/>
    <w:qFormat/>
    <w:uiPriority w:val="99"/>
    <w:pPr>
      <w:ind w:firstLine="420" w:firstLineChars="200"/>
    </w:pPr>
  </w:style>
  <w:style w:type="character" w:customStyle="1" w:styleId="15">
    <w:name w:val="页眉 Char"/>
    <w:basedOn w:val="14"/>
    <w:link w:val="11"/>
    <w:semiHidden/>
    <w:qFormat/>
    <w:uiPriority w:val="99"/>
    <w:rPr>
      <w:sz w:val="18"/>
      <w:szCs w:val="18"/>
    </w:rPr>
  </w:style>
  <w:style w:type="character" w:customStyle="1" w:styleId="16">
    <w:name w:val="页脚 Char"/>
    <w:basedOn w:val="14"/>
    <w:link w:val="10"/>
    <w:semiHidden/>
    <w:qFormat/>
    <w:uiPriority w:val="99"/>
    <w:rPr>
      <w:sz w:val="18"/>
      <w:szCs w:val="18"/>
    </w:rPr>
  </w:style>
  <w:style w:type="character" w:customStyle="1" w:styleId="17">
    <w:name w:val="标题 1 Char"/>
    <w:basedOn w:val="14"/>
    <w:link w:val="3"/>
    <w:qFormat/>
    <w:uiPriority w:val="9"/>
    <w:rPr>
      <w:rFonts w:ascii="Times New Roman" w:hAnsi="Times New Roman" w:eastAsia="宋体" w:cs="Times New Roman"/>
      <w:b/>
      <w:bCs/>
      <w:kern w:val="44"/>
      <w:sz w:val="44"/>
      <w:szCs w:val="44"/>
    </w:rPr>
  </w:style>
  <w:style w:type="paragraph" w:customStyle="1" w:styleId="18">
    <w:name w:val="NormalIndent"/>
    <w:next w:val="11"/>
    <w:qFormat/>
    <w:uiPriority w:val="0"/>
    <w:pPr>
      <w:widowControl w:val="0"/>
      <w:ind w:firstLine="200" w:firstLineChars="200"/>
      <w:jc w:val="both"/>
    </w:pPr>
    <w:rPr>
      <w:rFonts w:ascii="Times New Roman" w:hAnsi="Times New Roman" w:eastAsia="仿宋_GB2312" w:cs="Times New Roman"/>
      <w:kern w:val="2"/>
      <w:sz w:val="32"/>
      <w:szCs w:val="3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Sky123.Org</Company>
  <Pages>6</Pages>
  <Words>549</Words>
  <Characters>588</Characters>
  <Lines>2</Lines>
  <Paragraphs>1</Paragraphs>
  <TotalTime>2</TotalTime>
  <ScaleCrop>false</ScaleCrop>
  <LinksUpToDate>false</LinksUpToDate>
  <CharactersWithSpaces>591</CharactersWithSpaces>
  <Application>WPS Office_11.8.2.1120_F1E327BC-269C-435d-A152-05C5408002CA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2019-08-20T09:06:00Z</dcterms:created>
  <dc:creator>Sky123.Org</dc:creator>
  <cp:lastModifiedBy>user</cp:lastModifiedBy>
  <dcterms:modified xsi:type="dcterms:W3CDTF">2026-09-22T15:33:12Z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2052-11.8.2.1120</vt:lpwstr>
  </property>
  <property fmtid="{D5CDD505-2E9C-101B-9397-08002B2CF9AE}" pid="3" name="ICV">
    <vt:lpwstr>AEA63CC15D524F11376C856A20128F57_43</vt:lpwstr>
  </property>
  <property fmtid="{D5CDD505-2E9C-101B-9397-08002B2CF9AE}" pid="4" name="KSOTemplateDocerSaveRecord">
    <vt:lpwstr>eyJoZGlkIjoiNWY0Njg4ODcxOTAwMzgzMDQ4NGE4MTQ4YmUyOTc2MDQiLCJ1c2VySWQiOiIyNTAwMTM1OTMifQ==</vt:lpwstr>
  </property>
</Properties>
</file>