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/>
        <w:jc w:val="center"/>
        <w:textAlignment w:val="auto"/>
        <w:rPr>
          <w:rFonts w:hint="eastAsia" w:ascii="仿宋_GB2312" w:hAnsi="黑体" w:eastAsia="仿宋_GB2312" w:cs="方正小标宋简体"/>
          <w:b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方正小标宋简体"/>
          <w:b/>
          <w:color w:val="auto"/>
          <w:kern w:val="2"/>
          <w:sz w:val="32"/>
          <w:szCs w:val="32"/>
          <w:lang w:val="en-US" w:eastAsia="zh-CN" w:bidi="ar-SA"/>
        </w:rPr>
        <w:t>黑水县2025年脱贫人口小额信贷贴息</w:t>
      </w:r>
    </w:p>
    <w:p>
      <w:pPr>
        <w:spacing w:line="580" w:lineRule="exact"/>
        <w:jc w:val="center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项目支出绩效评价报告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一、评价工作开展及项目情况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（一）评价目的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通过绩效自评，及时发现项目实施中存在的薄弱环节，总结推广好的经验做法，进一步规范项目管理，</w:t>
      </w:r>
      <w:bookmarkStart w:id="0" w:name="_GoBack"/>
      <w:bookmarkEnd w:id="0"/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提高财政资金使用效益。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（二）预设问题及评价重点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对照绩效评价指标体系，资金支出严格按照中央、省、州脱贫人口小额信贷及财政衔接资金管理相关规定执行，制度体系健全完善。重点对项目决策、项目管理、项目实施、项目效果进行评价。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（三）评价选点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黑水县全县享受脱贫人口小额信贷贴息的建档立卡脱贫户、监测对象。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（四）评价方法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根据项目情况和评价重点，我单位采用自评法进行自评，通过翻阅相关补助凭证、银行回单、政策落实文件、受益对象台账进行核实。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经全面评价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黑水县2025年脱贫人口小额信贷贴息项目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立项合规、资金规范、执行到位、成效显著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，各项绩效目标全面完成，自评得分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100 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。</w:t>
      </w:r>
    </w:p>
    <w:tbl>
      <w:tblPr>
        <w:tblStyle w:val="6"/>
        <w:tblW w:w="94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1192"/>
        <w:gridCol w:w="1054"/>
        <w:gridCol w:w="1305"/>
        <w:gridCol w:w="426"/>
        <w:gridCol w:w="1017"/>
        <w:gridCol w:w="396"/>
        <w:gridCol w:w="861"/>
        <w:gridCol w:w="486"/>
        <w:gridCol w:w="486"/>
        <w:gridCol w:w="149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942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部门预算项目支出绩效自评表（2025年度）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09" w:hRule="atLeast"/>
        </w:trPr>
        <w:tc>
          <w:tcPr>
            <w:tcW w:w="20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36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黑水县2025年度脱贫人口小额信贷贴息项目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20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436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黑水县财政局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22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黑水县农业农村水利和科技局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9" w:hRule="atLeast"/>
        </w:trPr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13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436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30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6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对符合条件的建档立卡脱贫户和监测户在过渡期内发放的3年期(含)以内、5万元(含)以下脱贫人口小额信贷，以及按政策规定续贷和展期的脱贫人口小额信贷，在贷款合同期内，按期政策要求完成资金贴息。</w:t>
            </w:r>
          </w:p>
        </w:tc>
        <w:tc>
          <w:tcPr>
            <w:tcW w:w="30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已完成100%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8" w:hRule="atLeast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736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17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9" w:hRule="atLeast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75.00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7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52.80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75.00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52.80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9" w:hRule="atLeast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7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7" w:hRule="atLeast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7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黑体" w:hAnsi="黑体" w:eastAsia="黑体" w:cs="黑体"/>
                <w:i/>
                <w:iCs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7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8" w:hRule="atLeast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1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贫困户监测户获得贷款金额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3.00</w:t>
            </w:r>
          </w:p>
        </w:tc>
        <w:tc>
          <w:tcPr>
            <w:tcW w:w="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正向指标</w:t>
            </w: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贫困户监测户贷款申请满足率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</w:t>
            </w:r>
          </w:p>
        </w:tc>
        <w:tc>
          <w:tcPr>
            <w:tcW w:w="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正向指标</w:t>
            </w: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9" w:hRule="atLeast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小额信贷贴息率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</w:t>
            </w:r>
          </w:p>
        </w:tc>
        <w:tc>
          <w:tcPr>
            <w:tcW w:w="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正向指标</w:t>
            </w: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贷款及时发放率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</w:t>
            </w:r>
          </w:p>
        </w:tc>
        <w:tc>
          <w:tcPr>
            <w:tcW w:w="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正向指标</w:t>
            </w: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8" w:hRule="atLeast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收益脱贫户、监测户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682.00</w:t>
            </w:r>
          </w:p>
        </w:tc>
        <w:tc>
          <w:tcPr>
            <w:tcW w:w="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正向指标</w:t>
            </w: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收益脱贫户、监测户满意度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&gt;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98.00</w:t>
            </w:r>
          </w:p>
        </w:tc>
        <w:tc>
          <w:tcPr>
            <w:tcW w:w="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正向指标</w:t>
            </w: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8" w:hRule="atLeast"/>
        </w:trPr>
        <w:tc>
          <w:tcPr>
            <w:tcW w:w="7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不高于市场利率贴息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</w:t>
            </w:r>
          </w:p>
        </w:tc>
        <w:tc>
          <w:tcPr>
            <w:tcW w:w="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正向指标</w:t>
            </w: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712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8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869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综合前述评估内容来看，该项目立项必要性和依据充分，绩效目标明确，具备实施条件，具有公共性，符合财政资金支持方向等，下一步将进一步优化完善实施方案和绩效目标，加强运行监控，节约财政资金并提升资金效益，提升预算绩效管理水平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869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19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869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</w:tbl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 w:cs="仿宋_GB2312"/>
          <w:sz w:val="32"/>
          <w:szCs w:val="32"/>
        </w:rPr>
        <w:t>必要性和可行性分析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项目决策项目决策程序严密，严格遵循中央、省、州关于脱贫人口小额信贷贴息政策要求及项目审批流程。项目规划论证充分，符合中央、省委巩固拓展脱贫攻坚成果工作部署，绩效目标设置科学、具体、可衡量。资金投向精准聚焦防返贫民生保障重点，与乡村振兴及小额信贷政策总体规划高度匹配。</w:t>
      </w: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绩效目标设置情况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绩效目标设置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" w:eastAsia="仿宋_GB2312" w:cs="仿宋_GB2312"/>
          <w:sz w:val="32"/>
          <w:szCs w:val="32"/>
        </w:rPr>
        <w:t>明确性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本项目绩效目标导向清晰、界定标准统一、可测可评。总体目标聚焦落实过渡期小额信贷贴息政策、降低脱贫人口及监测户融资成本、助力产业发展、稳固脱贫成果、防范返贫风险，政策定位清晰、服务方向明确。项目科学设置产出、效益、满意度三大核心指标，全面覆盖贴息覆盖户数、贴息资金兑付、政策落实质量、办理时效、农户增收、群众评价等关键内容。各项核心指标均实现量化设置，明确贴息精准兑付率、政策惠及率、服务满意度等具体考核标准，统计口径清晰、考核依据充分，可通过台账核查、系统比对、问卷调查等方式开展精准核验，杜绝绩效考核虚化问题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default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绩效目标设置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的</w:t>
      </w:r>
      <w:r>
        <w:rPr>
          <w:rFonts w:hint="eastAsia" w:ascii="仿宋_GB2312" w:hAnsi="仿宋" w:eastAsia="仿宋_GB2312" w:cs="仿宋_GB2312"/>
          <w:sz w:val="32"/>
          <w:szCs w:val="32"/>
        </w:rPr>
        <w:t>合理性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项目绩效目标贴合政策要求、县域实际与资金规模，科学可行、适配性强。一是政策贴合度高，严格对标过渡期脱贫人口小额信贷扶持、防返贫监测帮扶、乡村产业振兴等政策规定，紧扣“应贴尽贴、精准帮扶”的项目初衷，目标导向无偏差。二是贴合本地实际，结合黑水县脱贫人口、监测户数量及产业融资需求设定指标，目标难度适中，符合小额信贷贴息常态化帮扶工作规律，可落地、可实现。三是指标逻辑闭环，产出指标聚焦贴息政策落地、资金规范兑付等基础工作，效益指标聚焦降低融资压力、带动农户增收、守住防返贫底线等长效成效，满意度指标检验政策服务质效，各指标相互衔接、层层支撑。四是资责匹配合理，绩效任务与年度预算资金额度高度适配，资金配置与帮扶任务精准对应，能够最大化发挥财政贴息资金撬动产业发展、稳固脱贫成果的作用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实际发放贴息补助资金52.8万元，严格按政策标准兑付，支付依据合法合规,资金使用规范，结余资金按衔接资金管理规定收回。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3、项目绩效</w:t>
      </w:r>
    </w:p>
    <w:tbl>
      <w:tblPr>
        <w:tblStyle w:val="6"/>
        <w:tblW w:w="1023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81"/>
        <w:gridCol w:w="1250"/>
        <w:gridCol w:w="1456"/>
        <w:gridCol w:w="983"/>
        <w:gridCol w:w="971"/>
        <w:gridCol w:w="1061"/>
        <w:gridCol w:w="1058"/>
        <w:gridCol w:w="17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3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b w:val="0"/>
                <w:bCs w:val="0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项目目标完成情况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9" w:hRule="atLeast"/>
          <w:jc w:val="center"/>
        </w:trPr>
        <w:tc>
          <w:tcPr>
            <w:tcW w:w="44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7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shd w:val="clear" w:color="auto" w:fill="FFFFFF"/>
                <w:lang w:val="en-US" w:eastAsia="zh-CN" w:bidi="ar"/>
              </w:rPr>
              <w:t>黑水县2025年度脱贫人口小额信贷贴息补助项目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8" w:hRule="atLeast"/>
          <w:jc w:val="center"/>
        </w:trPr>
        <w:tc>
          <w:tcPr>
            <w:tcW w:w="44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57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shd w:val="clear" w:color="auto" w:fill="FFFFFF"/>
                <w:lang w:val="en-US" w:eastAsia="zh-CN" w:bidi="ar"/>
              </w:rPr>
              <w:t>黑水县农业农村水利和科技局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 w:hRule="atLeast"/>
          <w:jc w:val="center"/>
        </w:trPr>
        <w:tc>
          <w:tcPr>
            <w:tcW w:w="443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项目类型</w:t>
            </w:r>
          </w:p>
        </w:tc>
        <w:tc>
          <w:tcPr>
            <w:tcW w:w="57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shd w:val="clear" w:color="auto" w:fill="FFFFFF"/>
                <w:lang w:val="en-US" w:eastAsia="zh-CN" w:bidi="ar"/>
              </w:rPr>
              <w:t>补助类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7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概况</w:t>
            </w:r>
          </w:p>
        </w:tc>
        <w:tc>
          <w:tcPr>
            <w:tcW w:w="37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中长期规划（名称、文号，仅指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常年项目）</w:t>
            </w:r>
          </w:p>
        </w:tc>
        <w:tc>
          <w:tcPr>
            <w:tcW w:w="57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shd w:val="clear" w:color="auto" w:fill="FFFFFF"/>
                <w:lang w:val="en-US" w:eastAsia="zh-CN" w:bidi="ar"/>
              </w:rPr>
              <w:t>关于深入扎实做好过渡期脱贫人口小额信贷工作的通知》（川银保监发[2021]5号）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资金管理办法（名称、文号）</w:t>
            </w:r>
          </w:p>
        </w:tc>
        <w:tc>
          <w:tcPr>
            <w:tcW w:w="57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绩效分配方式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Wingdings 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Wingdings 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</w:t>
            </w:r>
          </w:p>
        </w:tc>
        <w:tc>
          <w:tcPr>
            <w:tcW w:w="20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Wingdings 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Wingdings 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£项目法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Wingdings 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52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据实据效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Wingdings 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Wingdings 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因素法与项目法相结合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立项依据</w:t>
            </w:r>
          </w:p>
        </w:tc>
        <w:tc>
          <w:tcPr>
            <w:tcW w:w="57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2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使用范围</w:t>
            </w:r>
          </w:p>
        </w:tc>
        <w:tc>
          <w:tcPr>
            <w:tcW w:w="57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shd w:val="clear" w:color="auto" w:fill="FFFFFF"/>
                <w:lang w:val="en-US" w:eastAsia="zh-CN" w:bidi="ar"/>
              </w:rPr>
              <w:t>全县建档立卡脱贫户、监测户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7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申报（补助）条件</w:t>
            </w:r>
          </w:p>
        </w:tc>
        <w:tc>
          <w:tcPr>
            <w:tcW w:w="57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shd w:val="clear" w:color="auto" w:fill="FFFFFF"/>
                <w:lang w:val="en-US" w:eastAsia="zh-CN" w:bidi="ar"/>
              </w:rPr>
              <w:t>符合贴息条件的全县建档立卡脱贫户、监测户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项目起止年限</w:t>
            </w:r>
          </w:p>
        </w:tc>
        <w:tc>
          <w:tcPr>
            <w:tcW w:w="57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shd w:val="clear" w:color="auto" w:fill="FFFFFF"/>
                <w:lang w:val="en-US" w:eastAsia="zh-CN" w:bidi="ar"/>
              </w:rPr>
              <w:t>2025年度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8" w:hRule="atLeast"/>
          <w:jc w:val="center"/>
        </w:trPr>
        <w:tc>
          <w:tcPr>
            <w:tcW w:w="17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7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年度资金总额：</w:t>
            </w:r>
          </w:p>
        </w:tc>
        <w:tc>
          <w:tcPr>
            <w:tcW w:w="57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52.8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其中：财政拨款</w:t>
            </w:r>
          </w:p>
        </w:tc>
        <w:tc>
          <w:tcPr>
            <w:tcW w:w="57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52.8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3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其他资金</w:t>
            </w:r>
          </w:p>
        </w:tc>
        <w:tc>
          <w:tcPr>
            <w:tcW w:w="579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right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总体 目标</w:t>
            </w: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0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eastAsia" w:eastAsia="宋体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auto"/>
                <w:spacing w:val="0"/>
                <w:kern w:val="0"/>
                <w:sz w:val="30"/>
                <w:szCs w:val="30"/>
                <w:u w:val="none"/>
                <w:shd w:val="clear" w:color="auto" w:fill="FFFFFF"/>
                <w:lang w:val="en-US" w:eastAsia="zh-CN" w:bidi="ar"/>
              </w:rPr>
              <w:t>对符合条件的脱贫户及监测户，3 年期以内、5 万元以下的小额信贷（含合规续贷、展期），按不超过5%年利率给予100%全额贴息。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4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 指标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权重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实际完成指标值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5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2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脱贫户、监测户获得贷款金额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万元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户均贷款金额达标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4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脱贫户、监测户贷款申请满足率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小额信贷贴息率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2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扶贫小额贷款还款率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高于90%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贷款及时发放率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=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100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社会效益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收益脱贫户、监测户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≥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682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户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1050户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2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收益脱贫户、监测户满意度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&gt;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98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98%以上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7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经济成本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456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不高于市场利率贴息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&lt;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5%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%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符合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政策</w:t>
            </w:r>
            <w:r>
              <w:rPr>
                <w:rFonts w:ascii="宋体" w:hAnsi="宋体" w:eastAsia="宋体" w:cs="宋体"/>
                <w:sz w:val="24"/>
                <w:szCs w:val="24"/>
              </w:rPr>
              <w:t>要求，未超5%</w:t>
            </w:r>
          </w:p>
        </w:tc>
      </w:tr>
    </w:tbl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numPr>
          <w:ilvl w:val="0"/>
          <w:numId w:val="2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存在主要问题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无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四、相关措施建议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??">
    <w:altName w:val="AR PL UKai C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 PL UKai CN">
    <w:panose1 w:val="02000503000000000000"/>
    <w:charset w:val="86"/>
    <w:family w:val="auto"/>
    <w:pitch w:val="default"/>
    <w:sig w:usb0="A00002FF" w:usb1="3ACFFDFF" w:usb2="00000036" w:usb3="00000000" w:csb0="2016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FD8990"/>
    <w:multiLevelType w:val="singleLevel"/>
    <w:tmpl w:val="9FFD8990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3FFF1A08"/>
    <w:multiLevelType w:val="singleLevel"/>
    <w:tmpl w:val="3FFF1A0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C22EC"/>
    <w:rsid w:val="004C22EC"/>
    <w:rsid w:val="007B38C6"/>
    <w:rsid w:val="09FAE98B"/>
    <w:rsid w:val="100566B3"/>
    <w:rsid w:val="1937A7B4"/>
    <w:rsid w:val="1B4A3EC4"/>
    <w:rsid w:val="1F887BDD"/>
    <w:rsid w:val="2439349C"/>
    <w:rsid w:val="244E01D1"/>
    <w:rsid w:val="33DA011B"/>
    <w:rsid w:val="358B1B11"/>
    <w:rsid w:val="3F7324FD"/>
    <w:rsid w:val="3FB3506C"/>
    <w:rsid w:val="3FD9E447"/>
    <w:rsid w:val="423607D0"/>
    <w:rsid w:val="4A0B0DD8"/>
    <w:rsid w:val="4C285249"/>
    <w:rsid w:val="55704B34"/>
    <w:rsid w:val="57B166CC"/>
    <w:rsid w:val="5BFFADB1"/>
    <w:rsid w:val="5DBC40E7"/>
    <w:rsid w:val="655F8884"/>
    <w:rsid w:val="6E6F7FAA"/>
    <w:rsid w:val="6FFEFF88"/>
    <w:rsid w:val="77991202"/>
    <w:rsid w:val="7AFD46BE"/>
    <w:rsid w:val="7F7A2B19"/>
    <w:rsid w:val="7FF1C9B7"/>
    <w:rsid w:val="7FF805D8"/>
    <w:rsid w:val="BDD785AE"/>
    <w:rsid w:val="BDFF15B8"/>
    <w:rsid w:val="CBFFF2E4"/>
    <w:rsid w:val="EB33D69C"/>
    <w:rsid w:val="F77FDF58"/>
    <w:rsid w:val="FBE3EE45"/>
    <w:rsid w:val="FD798B73"/>
    <w:rsid w:val="FEED58A9"/>
    <w:rsid w:val="FEFC143F"/>
    <w:rsid w:val="FFFDB164"/>
    <w:rsid w:val="FFFFE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7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3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6</Pages>
  <Words>423</Words>
  <Characters>440</Characters>
  <Lines>2</Lines>
  <Paragraphs>1</Paragraphs>
  <TotalTime>195</TotalTime>
  <ScaleCrop>false</ScaleCrop>
  <LinksUpToDate>false</LinksUpToDate>
  <CharactersWithSpaces>441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2019-08-20T01:06:00Z</dcterms:created>
  <dc:creator>Sky123.Org</dc:creator>
  <cp:lastModifiedBy>user</cp:lastModifiedBy>
  <dcterms:modified xsi:type="dcterms:W3CDTF">2026-09-22T15:30:50Z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C5BE262402E42233B275856AD17C85F8_43</vt:lpwstr>
  </property>
  <property fmtid="{D5CDD505-2E9C-101B-9397-08002B2CF9AE}" pid="4" name="KSOTemplateDocerSaveRecord">
    <vt:lpwstr>eyJoZGlkIjoiNWY0Njg4ODcxOTAwMzgzMDQ4NGE4MTQ4YmUyOTc2MDQiLCJ1c2VySWQiOiIyNTAwMTM1OTMifQ==</vt:lpwstr>
  </property>
</Properties>
</file>