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bCs w:val="0"/>
          <w:sz w:val="44"/>
          <w:szCs w:val="44"/>
        </w:rPr>
      </w:pPr>
      <w:r>
        <w:rPr>
          <w:rFonts w:hint="eastAsia" w:ascii="仿宋_GB2312" w:hAnsi="黑体" w:eastAsia="仿宋_GB2312" w:cs="方正小标宋简体"/>
          <w:b/>
          <w:bCs w:val="0"/>
          <w:sz w:val="44"/>
          <w:szCs w:val="44"/>
        </w:rPr>
        <w:t>20</w:t>
      </w:r>
      <w:r>
        <w:rPr>
          <w:rFonts w:hint="eastAsia" w:ascii="仿宋_GB2312" w:hAnsi="黑体" w:eastAsia="仿宋_GB2312" w:cs="方正小标宋简体"/>
          <w:b/>
          <w:bCs w:val="0"/>
          <w:sz w:val="44"/>
          <w:szCs w:val="44"/>
          <w:lang w:val="en-US" w:eastAsia="zh-CN"/>
        </w:rPr>
        <w:t>23</w:t>
      </w:r>
      <w:r>
        <w:rPr>
          <w:rFonts w:hint="eastAsia" w:ascii="仿宋_GB2312" w:hAnsi="黑体" w:eastAsia="仿宋_GB2312" w:cs="方正小标宋简体"/>
          <w:b/>
          <w:bCs w:val="0"/>
          <w:sz w:val="44"/>
          <w:szCs w:val="44"/>
        </w:rPr>
        <w:t>年</w:t>
      </w:r>
      <w:r>
        <w:rPr>
          <w:rFonts w:hint="eastAsia" w:ascii="仿宋_GB2312" w:hAnsi="黑体" w:eastAsia="仿宋_GB2312" w:cs="方正小标宋简体"/>
          <w:b/>
          <w:bCs w:val="0"/>
          <w:sz w:val="44"/>
          <w:szCs w:val="44"/>
          <w:lang w:val="en-US" w:eastAsia="zh-CN"/>
        </w:rPr>
        <w:t>黑水县基本草原调整优化工作项目</w:t>
      </w:r>
      <w:r>
        <w:rPr>
          <w:rFonts w:hint="eastAsia" w:ascii="仿宋_GB2312" w:hAnsi="黑体" w:eastAsia="仿宋_GB2312" w:cs="方正小标宋简体"/>
          <w:b/>
          <w:bCs w:val="0"/>
          <w:sz w:val="44"/>
          <w:szCs w:val="44"/>
        </w:rPr>
        <w:t>支出绩效评价报告</w:t>
      </w:r>
    </w:p>
    <w:p>
      <w:pPr>
        <w:spacing w:line="580" w:lineRule="exact"/>
        <w:jc w:val="center"/>
        <w:rPr>
          <w:rFonts w:hint="eastAsia" w:ascii="仿宋_GB2312" w:hAnsi="黑体" w:eastAsia="仿宋_GB2312" w:cs="方正小标宋简体"/>
          <w:b/>
          <w:bCs w:val="0"/>
          <w:sz w:val="44"/>
          <w:szCs w:val="44"/>
        </w:rPr>
      </w:pPr>
    </w:p>
    <w:p>
      <w:pPr>
        <w:spacing w:line="580" w:lineRule="exact"/>
        <w:ind w:firstLine="642" w:firstLineChars="200"/>
        <w:rPr>
          <w:rFonts w:hint="eastAsia"/>
          <w:b/>
          <w:bCs/>
        </w:rPr>
      </w:pPr>
      <w:r>
        <w:rPr>
          <w:rFonts w:hint="eastAsia" w:ascii="仿宋_GB2312" w:hAnsi="仿宋" w:eastAsia="仿宋_GB2312" w:cs="仿宋_GB2312"/>
          <w:b/>
          <w:bCs/>
          <w:sz w:val="32"/>
          <w:szCs w:val="32"/>
        </w:rPr>
        <w:t>一、评价工作开展及项目情况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（一）项目概况</w:t>
      </w:r>
    </w:p>
    <w:p>
      <w:pPr>
        <w:pStyle w:val="7"/>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60" w:lineRule="exact"/>
        <w:ind w:right="0" w:rightChars="0" w:firstLine="640" w:firstLineChars="200"/>
        <w:jc w:val="both"/>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设立背景及基本情况。</w:t>
      </w:r>
    </w:p>
    <w:p>
      <w:pPr>
        <w:pStyle w:val="7"/>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60" w:lineRule="exact"/>
        <w:ind w:right="0" w:rightChars="0" w:firstLine="640" w:firstLineChars="200"/>
        <w:jc w:val="both"/>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2015年我县基本草原面积为212.87万亩，占草原总面积的82.3%,并推行基本草原保护制度，有力保护了草原资源。第三次全国国土调查（以下简称国土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en-US"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结果公布后，我县草原总面积由258.43万亩减少到177.91万亩，草原面积和空间分布发生重大变化。按照《中华人民共和国草原法》规定和国家林草局相关要求，原划定的基本草原面积远大于我县国土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“三调”草</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原总面积，部分原划定为基本草原的地类属性已不是草原，难以精准指导草原保护工作,也不利地方经济社会协调发展亟须对需对已划定的基本草原进行调整优化。根据四川省林草局《关于印发开展基本草原优化调整工作方案的通知》(川林发〔2023〕31号)文件要求,编制《黑水县基本草原调整优化工作实施方案</w:t>
      </w:r>
      <w:bookmarkStart w:id="0" w:name="_GoBack"/>
      <w:bookmarkEnd w:id="0"/>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》,在2015年完成基本草原划定的县级开展基本草原调整优化工作以国土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草地和2015年划定基本草原成果为工作底版，叠加国土空间规划、</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“三区</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三线”划定成果、自然保护地整合优化成果和行业重要规划等相关数据，采用遥感和外业调查相结合的方式，确定基本草原的范围、面积、类型、界线及其他属性信息，形成数据准确、界线清楚、图件规范的基本草原统计表、分布图、矢量数据库。</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t>实施目的及支持方向</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为进一步加强项目资金监管力度，夯实基础工作，提高监管能力和水平，我站按内控制度及项目管理要求进行招投标和政府采购。在强化项目推进的同时，逐一建立完善各个工程项目资金管理台账，实时监管资金流向。明确每一分钱的来源与去处，并按项目序时进度详细记录资金拨付及支出情况，确保资金及时、足额拨付，防止挤占、挪用项目资金。2015年我县基本草原面积为212.87万亩，占草原总面积的82.3%,并推行基本草原保护制度，有力保护了草原资源。第三次全国国土调查（以下简称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en-US"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结果公布后，  我县草原总面积由258.43万亩减少到177.91万亩，草原面积和空间分布发生重大变化。按照《中华人民共和国草原法》规定和国家林草局相关要求，原划定的基本草原面积远大于我县国土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“三调”草</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原总面积，部分原划定为基本草原的地类属性已不是草原，难以精准指导草原保护工作,也不利地方经济社会协调发展亟须对需对已划定的基本草原进行调整优化</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w:t>
      </w:r>
      <w:r>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t>预算安排及分配管理</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）根据</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黑水县财政局《关于下达2023年重点生态功能区转移支付的通知》(</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黑财预〔</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2023</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26号)文件要求,</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下达资金</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55万元,</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该资金用于黑水县基本草原优化项目。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资金来源:县级财政专项资金.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项目绩效目标设置。</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根据项目实际，共设置三大类指标，分别为</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产出指标、效益指标、满意度指标。</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（1）产出指标</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①数量指标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覆盖乡镇个数        15</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②质量指标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项目验收合格率（%）  ≥  95</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③时效指标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 xml:space="preserve">项目建设到期完成率（%）≥ 95 </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效益指标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可持续影响指标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持续发挥经济生态效益（是/否）</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 xml:space="preserve">  是</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（3）满意度指标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服务对象满意度指标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项目群众满意度（%） ≥ 85</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二</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评价实施</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评价目的。</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通过本次评价总结经验，发现问题，提出改进建议，进一步提升加强项目支出绩效管理水平、提升预算管理水平、提升项目管理水平。</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预设问题及评价重点。</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本次评价主要针对该项目的规划编制的内容完整性和项目实施工作的质量问题，结合该项目资金的使用情况来完整的体现。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评价选点。黑水县</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15个乡镇</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评价方法。</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采用先进的绩效评价方法和科学的数据分析是取得正确客观评价结论的重要保障，评价组从以下方法中择优组织，对项目实施评价，通过定量和定性分析得出评价结论。</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（1）比较分析法。是指通过对绩效目标与实施效果、历史与当期情况、不同部门和地区同类支出的比较，综合分析绩效目标实现程度。</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（2）因素分析法。是指通过综合分析影响绩效目标实现、实施效果的内外因素，评价绩效目标实现程度。</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（3）最低成本分析法。是指对效益确定却不易计量的多个同类对象的实施成本进行比较，评价绩效目标实现程度。</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（4）双重交叉分析法。通过对项目建设前后的比较，根据成效等方面去寻找和分析政策产生的影响。</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（5）随机访谈法。针对部分项目负责人及实施主体进行了询问和访谈，如项目实施情况的必要性、可行性和满意度等进行随机访谈。</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评价组织。</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（1）领导小组职责：</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①研究和决定同级政府公共事业管理绩效评价中的重大问题。</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②组织协调绩效评价工作，确保评价的顺利进行。</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③对各单位的工作目标、绩效考核结果和等次、奖惩方案进行审核，并报同级党委和政府审定。</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（2）办公室职责：</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①提出全省（市、县）政府公共事业管理绩效评价的工作方案，并负责具体组织实施。</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②综合评价信息，提出评价结果等次认定方案及奖惩方案等。</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③负责绩效评价的日常工作，包括宣传、沟通、协调等。</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④根据评价结果撰写绩效评价报告，并递交给领导小组。</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（3）具体执行人员职责：</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①组长：审批绩效自评方案，监督、检查、核实绩效自评结果。</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②副组长：审核修改拟定的绩效自评方案，并提交考评工作组会议讨论通过；监督、部署、确认绩效自评过程及反馈意见的处理。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adjustRightInd w:val="0"/>
        <w:snapToGrid w:val="0"/>
        <w:spacing w:line="578" w:lineRule="exact"/>
        <w:ind w:firstLine="640" w:firstLineChars="200"/>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黑水县基本草原优化调整工作目前完成州级成果审定,待省级审定。该项目整体管理程序合理，落实专人跟进实施，实现有序推进。</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（二）</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绩效分析</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1.通用指标</w:t>
      </w:r>
      <w:r>
        <w:rPr>
          <w:rFonts w:hint="default" w:ascii="仿宋_GB2312" w:hAnsi="仿宋_GB2312" w:eastAsia="仿宋_GB2312" w:cs="仿宋_GB2312"/>
          <w:b w:val="0"/>
          <w:bCs w:val="0"/>
          <w:spacing w:val="0"/>
          <w:w w:val="100"/>
          <w:kern w:val="2"/>
          <w:sz w:val="32"/>
          <w:szCs w:val="32"/>
          <w:u w:val="none"/>
          <w:shd w:val="clear" w:color="auto" w:fill="auto"/>
          <w:lang w:val="zh-CN" w:eastAsia="zh-CN" w:bidi="ar-SA"/>
        </w:rPr>
        <w:t>绩效分析。</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(满分54分,自评得分48分)</w:t>
      </w:r>
    </w:p>
    <w:p>
      <w:pPr>
        <w:spacing w:line="578" w:lineRule="exact"/>
        <w:ind w:firstLine="64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项目决策。</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①决策程序</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项目设立、调整延续等方面符合资金管理基本规范和决策程序要求，该项指标得分6分。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②规划论证</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规划符合中央、省委省政府有关决策部署安排，项目充分评估论证了立项必要性、前瞻性、合理性和可行性。项目总体绩效目标设置合理性的偏离度≤15%，绩效目标科学合理、规范完整、量化细化、预算匹配，该项指标得分6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③资金投向</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属于政府支持范围，且符合财政事权支出责任划分规定，资金投向与项目总体规划、相关行业事业发展相匹配，聚焦重大任务、重点领域、重点环节和重点项目，体现“集中力量办大事”原则，避免“撒胡椒面”，未与其他同类项目或部门内部相关项目交叉重复，该项指标得分6分。</w:t>
      </w:r>
    </w:p>
    <w:p>
      <w:pPr>
        <w:spacing w:line="578" w:lineRule="exact"/>
        <w:ind w:firstLine="64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项目管理。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①制度办法</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资金管理办法等管理制度体系健全完善，不存在管理制度缺失、管理办法过期情况，该项指标得分2分。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②分配管理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③绩效监管</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按中央、省委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spacing w:line="578" w:lineRule="exact"/>
        <w:ind w:left="420" w:left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（3）项目实施。围绕、进行绩效分析。</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①预算执行</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财政资金已按照要求拨付完毕，拨付率100%，该项指标得分=财政资金拨付率×100%×6=6分。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②资金使用</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spacing w:line="578" w:lineRule="exact"/>
        <w:ind w:left="420" w:left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（4）项目结果。</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①目标完成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项目完成预期目标，实施结果与绩效目标相匹配，项目2023年底完成前期的数据及资料的收集，编制初步成果，扣分4分，该项指标得分2分。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②完成时效</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目前该项目正按工程进度顺利推进，待省级审定成果后县政府公示，扣分2分，该项指标得分1分。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2.专用指标</w:t>
      </w:r>
      <w:r>
        <w:rPr>
          <w:rFonts w:hint="default" w:ascii="仿宋_GB2312" w:hAnsi="仿宋_GB2312" w:eastAsia="仿宋_GB2312" w:cs="仿宋_GB2312"/>
          <w:b w:val="0"/>
          <w:bCs w:val="0"/>
          <w:spacing w:val="0"/>
          <w:w w:val="100"/>
          <w:kern w:val="2"/>
          <w:sz w:val="32"/>
          <w:szCs w:val="32"/>
          <w:u w:val="none"/>
          <w:shd w:val="clear" w:color="auto" w:fill="auto"/>
          <w:lang w:val="zh-CN" w:eastAsia="zh-CN" w:bidi="ar-SA"/>
        </w:rPr>
        <w:t>绩效分析。</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民生保障</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指标进行绩效分析。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区域均衡性（满分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该项目实施后，规范我县基本草原面积，落实基本草原保护制度，科学合理利用草原.</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对象精准性（满分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资金实际支持对象符合管理要求，符合支持对象范围。</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标准合理性（满分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严格执行行业建设标准，同时按照项目实际需要有序实施，资金实际补贴标准符合资金管理办法规定的补助标准，下一步待成果审定合格后按该标准进行兑现工作。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群众满意度（满分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维护国家生态安全、保障草原畜牧业健康发展所需最基本,最重要的草原纳入基本草原，积极推行基本草原保护制度，促进草原事业高质量发展。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同时，积极引导群众树立生态环境保护意识，</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人民群众满意值和获得感</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大大提升</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3.个性指标</w:t>
      </w:r>
      <w:r>
        <w:rPr>
          <w:rFonts w:hint="default" w:ascii="仿宋_GB2312" w:hAnsi="仿宋_GB2312" w:eastAsia="仿宋_GB2312" w:cs="仿宋_GB2312"/>
          <w:b w:val="0"/>
          <w:bCs w:val="0"/>
          <w:spacing w:val="0"/>
          <w:w w:val="100"/>
          <w:kern w:val="2"/>
          <w:sz w:val="32"/>
          <w:szCs w:val="32"/>
          <w:u w:val="none"/>
          <w:shd w:val="clear" w:color="auto" w:fill="auto"/>
          <w:lang w:val="zh-CN" w:eastAsia="zh-CN" w:bidi="ar-SA"/>
        </w:rPr>
        <w:t>绩效分析。</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16</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14</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pStyle w:val="2"/>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（1）质量达标（满分8分，自评得分8分）</w:t>
      </w:r>
    </w:p>
    <w:p>
      <w:pPr>
        <w:pStyle w:val="7"/>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60" w:lineRule="exact"/>
        <w:ind w:right="0" w:rightChars="0" w:firstLine="640" w:firstLineChars="200"/>
        <w:jc w:val="both"/>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在2015年完成基本草原划定的县级开展基本草原调整优化工作以国土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草地和2015年划定基本草原成果为工作底版，叠加国土空间规划、</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“三区</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三线”划定成果、自然保护地整合优化成果和行业重要规划等相关数据，采用遥感和外业调查相结合的方式，确定基本草原的范围、面积、类型、界线及其他属性信息，形成数据准确、界线清楚、图件规范的基本草原统计表、分布图、矢量数据库。</w:t>
      </w:r>
    </w:p>
    <w:p>
      <w:pPr>
        <w:pStyle w:val="2"/>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（2）效益可持续性（满分8分，自评得分8分）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严守生态保护红线和资源利用上线，根据国土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结果，结合草原资源保护利用状况和区域社会经济发展需要，调整优化基本草原范围和面积，把维护国家生态安全、保障草原畜牧业健康发展所需最基本、最重要的草原纳入基本草原，积极推行基本草原保护制度，促进草原事业高质量发展</w:t>
      </w:r>
      <w:r>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因此，项目效益具有可持续性。</w:t>
      </w:r>
    </w:p>
    <w:p>
      <w:pPr>
        <w:pStyle w:val="2"/>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三、存在主要问题</w:t>
      </w:r>
    </w:p>
    <w:p>
      <w:pPr>
        <w:pStyle w:val="2"/>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因草原工作人员不足,导致工作滞后.</w:t>
      </w:r>
    </w:p>
    <w:p>
      <w:pPr>
        <w:pStyle w:val="2"/>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四、</w:t>
      </w:r>
      <w:r>
        <w:rPr>
          <w:rFonts w:hint="eastAsia" w:ascii="仿宋_GB2312" w:hAnsi="仿宋" w:eastAsia="仿宋_GB2312" w:cs="仿宋_GB2312"/>
          <w:sz w:val="32"/>
          <w:szCs w:val="32"/>
        </w:rPr>
        <w:t>相关措施建议</w:t>
      </w:r>
    </w:p>
    <w:p>
      <w:pPr>
        <w:keepNext w:val="0"/>
        <w:keepLines w:val="0"/>
        <w:pageBreakBefore w:val="0"/>
        <w:tabs>
          <w:tab w:val="left" w:pos="1911"/>
        </w:tabs>
        <w:kinsoku/>
        <w:wordWrap/>
        <w:overflowPunct/>
        <w:topLinePunct w:val="0"/>
        <w:autoSpaceDE/>
        <w:autoSpaceDN/>
        <w:bidi w:val="0"/>
        <w:spacing w:line="570" w:lineRule="exact"/>
        <w:jc w:val="left"/>
        <w:rPr>
          <w:rFonts w:hint="eastAsia" w:ascii="仿宋_GB2312" w:hAnsi="仿宋_GB2312" w:eastAsia="仿宋_GB2312" w:cs="仿宋_GB2312"/>
          <w:b w:val="0"/>
          <w:bCs w:val="0"/>
          <w:spacing w:val="0"/>
          <w:w w:val="100"/>
          <w:kern w:val="2"/>
          <w:sz w:val="32"/>
          <w:szCs w:val="32"/>
          <w:u w:val="none"/>
          <w:shd w:val="clear" w:color="auto" w:fill="auto"/>
          <w:lang w:val="e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 xml:space="preserve"> </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 xml:space="preserve">   加强项目实施监管，督促第三方单位严格按照实施方案开展工作，保障项目成效。</w:t>
      </w:r>
    </w:p>
    <w:p>
      <w:pP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MGRhYWMyYjE1NjY0OWU0YzE4ZmIwYzc4OWVmMGQifQ=="/>
  </w:docVars>
  <w:rsids>
    <w:rsidRoot w:val="3BAC67D0"/>
    <w:rsid w:val="089650ED"/>
    <w:rsid w:val="241E557E"/>
    <w:rsid w:val="3513266A"/>
    <w:rsid w:val="3AF6465C"/>
    <w:rsid w:val="3BAC67D0"/>
    <w:rsid w:val="75964603"/>
    <w:rsid w:val="EF3B35AB"/>
    <w:rsid w:val="EFFBBF17"/>
    <w:rsid w:val="F1E3B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3">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32"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4073</Words>
  <Characters>4187</Characters>
  <Lines>0</Lines>
  <Paragraphs>0</Paragraphs>
  <TotalTime>5</TotalTime>
  <ScaleCrop>false</ScaleCrop>
  <LinksUpToDate>false</LinksUpToDate>
  <CharactersWithSpaces>4220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2024-09-26T17:15:00Z</dcterms:created>
  <dc:creator>Administrator</dc:creator>
  <cp:lastModifiedBy>user</cp:lastModifiedBy>
  <dcterms:modified xsi:type="dcterms:W3CDTF">2025-04-16T11:12:36Z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7FE5AD92A68C4F5FA44C0C8A277959F8_13</vt:lpwstr>
  </property>
</Properties>
</file>