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林业和草原局（事业）</w:t>
      </w:r>
    </w:p>
    <w:p>
      <w:pPr>
        <w:widowControl/>
        <w:spacing w:line="480" w:lineRule="atLeast"/>
        <w:ind w:firstLine="60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公务接待费支出决算与2023年度持平。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38" w:leftChars="304" w:firstLine="0" w:firstLineChars="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减少0.01万元，下降0.21%。主要原因是</w:t>
      </w: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厉行勤俭节约。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主要用于</w:t>
      </w:r>
      <w:r>
        <w:rPr>
          <w:rFonts w:hint="eastAsia" w:ascii="仿宋_GB2312" w:hAnsi="仿宋_GB2312" w:eastAsia="仿宋_GB2312" w:cs="Times New Roman"/>
          <w:color w:val="000000"/>
          <w:kern w:val="2"/>
          <w:sz w:val="32"/>
          <w:szCs w:val="32"/>
          <w:lang w:val="en-US" w:eastAsia="zh-CN" w:bidi="ar-SA"/>
        </w:rPr>
        <w:t>森林草原防灭火宣传及日常工作等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所需的公务用车燃料费、维修费、过路过桥费、保险费等支出。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黑水县林业和草原局（事业）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B18A7"/>
    <w:multiLevelType w:val="singleLevel"/>
    <w:tmpl w:val="BA3B18A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7EF22F7"/>
    <w:rsid w:val="4E993BEB"/>
    <w:rsid w:val="5BEC01BF"/>
    <w:rsid w:val="60366A76"/>
    <w:rsid w:val="66090EF9"/>
    <w:rsid w:val="6FA81365"/>
    <w:rsid w:val="796FF079"/>
    <w:rsid w:val="7EE56D10"/>
    <w:rsid w:val="9C8D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before="120" w:beforeLines="50" w:after="240" w:afterLines="100"/>
      <w:ind w:firstLine="482" w:firstLineChars="0"/>
      <w:jc w:val="both"/>
    </w:pPr>
    <w:rPr>
      <w:rFonts w:ascii="Calibri" w:hAnsi="Calibri" w:eastAsia="宋体" w:cs="Arial"/>
      <w:kern w:val="2"/>
      <w:sz w:val="21"/>
      <w:szCs w:val="21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395</Words>
  <Characters>468</Characters>
  <Lines>3</Lines>
  <Paragraphs>1</Paragraphs>
  <TotalTime>0</TotalTime>
  <ScaleCrop>false</ScaleCrop>
  <LinksUpToDate>false</LinksUpToDate>
  <CharactersWithSpaces>531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Administrator</cp:lastModifiedBy>
  <dcterms:modified xsi:type="dcterms:W3CDTF">2025-08-29T08:01:07Z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eyJoZGlkIjoiN2VmM2ViM2JiYjUwOThkMGY4YjM5ZGJhZTBhMWUyZTAiLCJ1c2VySWQiOiI3NDgxOTg1OTYifQ==</vt:lpwstr>
  </property>
</Properties>
</file>