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6C1505">
      <w:pPr>
        <w:keepNext w:val="0"/>
        <w:keepLines w:val="0"/>
        <w:pageBreakBefore w:val="0"/>
        <w:widowControl w:val="0"/>
        <w:kinsoku/>
        <w:wordWrap/>
        <w:overflowPunct/>
        <w:topLinePunct w:val="0"/>
        <w:autoSpaceDE/>
        <w:autoSpaceDN/>
        <w:bidi w:val="0"/>
        <w:adjustRightInd/>
        <w:snapToGrid w:val="0"/>
        <w:spacing w:afterAutospacing="0" w:line="600" w:lineRule="exact"/>
        <w:jc w:val="center"/>
        <w:textAlignment w:val="auto"/>
        <w:outlineLvl w:val="9"/>
        <w:rPr>
          <w:rFonts w:hint="eastAsia" w:ascii="方正小标宋_GBK" w:hAnsi="方正小标宋_GBK" w:eastAsia="方正小标宋_GBK" w:cs="方正小标宋_GBK"/>
          <w:b w:val="0"/>
          <w:bCs/>
          <w:sz w:val="44"/>
          <w:szCs w:val="44"/>
          <w:lang w:eastAsia="zh-CN"/>
        </w:rPr>
      </w:pPr>
      <w:r>
        <w:rPr>
          <w:rFonts w:hint="eastAsia" w:ascii="方正小标宋_GBK" w:hAnsi="方正小标宋_GBK" w:eastAsia="方正小标宋_GBK" w:cs="方正小标宋_GBK"/>
          <w:b w:val="0"/>
          <w:bCs/>
          <w:sz w:val="44"/>
          <w:szCs w:val="44"/>
          <w:lang w:val="en-US" w:eastAsia="zh-CN"/>
        </w:rPr>
        <w:t>黑水县林业和草原局2024</w:t>
      </w:r>
      <w:r>
        <w:rPr>
          <w:rFonts w:hint="eastAsia" w:ascii="方正小标宋_GBK" w:hAnsi="方正小标宋_GBK" w:eastAsia="方正小标宋_GBK" w:cs="方正小标宋_GBK"/>
          <w:b w:val="0"/>
          <w:bCs/>
          <w:sz w:val="44"/>
          <w:szCs w:val="44"/>
        </w:rPr>
        <w:t>年</w:t>
      </w:r>
      <w:r>
        <w:rPr>
          <w:rFonts w:hint="eastAsia" w:ascii="方正小标宋_GBK" w:hAnsi="方正小标宋_GBK" w:eastAsia="方正小标宋_GBK" w:cs="方正小标宋_GBK"/>
          <w:b w:val="0"/>
          <w:bCs/>
          <w:sz w:val="44"/>
          <w:szCs w:val="44"/>
          <w:lang w:eastAsia="zh-CN"/>
        </w:rPr>
        <w:t>部门</w:t>
      </w:r>
    </w:p>
    <w:p w14:paraId="6B5620C5">
      <w:pPr>
        <w:keepNext w:val="0"/>
        <w:keepLines w:val="0"/>
        <w:pageBreakBefore w:val="0"/>
        <w:widowControl w:val="0"/>
        <w:kinsoku/>
        <w:wordWrap/>
        <w:overflowPunct/>
        <w:topLinePunct w:val="0"/>
        <w:autoSpaceDE/>
        <w:autoSpaceDN/>
        <w:bidi w:val="0"/>
        <w:adjustRightInd/>
        <w:snapToGrid w:val="0"/>
        <w:spacing w:afterAutospacing="0" w:line="600" w:lineRule="exact"/>
        <w:jc w:val="center"/>
        <w:textAlignment w:val="auto"/>
        <w:outlineLvl w:val="9"/>
        <w:rPr>
          <w:rFonts w:hint="eastAsia" w:ascii="方正小标宋_GBK" w:hAnsi="方正小标宋_GBK" w:eastAsia="方正小标宋_GBK" w:cs="方正小标宋_GBK"/>
          <w:b w:val="0"/>
          <w:bCs/>
          <w:sz w:val="44"/>
          <w:szCs w:val="44"/>
        </w:rPr>
      </w:pPr>
      <w:r>
        <w:rPr>
          <w:rFonts w:hint="eastAsia" w:ascii="方正小标宋_GBK" w:hAnsi="方正小标宋_GBK" w:eastAsia="方正小标宋_GBK" w:cs="方正小标宋_GBK"/>
          <w:b w:val="0"/>
          <w:bCs/>
          <w:sz w:val="44"/>
          <w:szCs w:val="44"/>
        </w:rPr>
        <w:t>整体支出绩效评价报告</w:t>
      </w:r>
    </w:p>
    <w:p w14:paraId="02CBC60C">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hint="default" w:ascii="Times New Roman" w:hAnsi="Times New Roman" w:eastAsia="黑体" w:cs="Times New Roman"/>
          <w:color w:val="000000"/>
          <w:kern w:val="0"/>
          <w:sz w:val="24"/>
          <w:szCs w:val="32"/>
          <w:highlight w:val="none"/>
          <w:shd w:val="clear" w:color="auto" w:fill="FFFFFF"/>
        </w:rPr>
      </w:pPr>
    </w:p>
    <w:p w14:paraId="639000CA">
      <w:pPr>
        <w:keepNext w:val="0"/>
        <w:keepLines w:val="0"/>
        <w:pageBreakBefore w:val="0"/>
        <w:widowControl/>
        <w:numPr>
          <w:ilvl w:val="0"/>
          <w:numId w:val="0"/>
        </w:numPr>
        <w:kinsoku/>
        <w:wordWrap/>
        <w:overflowPunct/>
        <w:topLinePunct w:val="0"/>
        <w:autoSpaceDE/>
        <w:autoSpaceDN/>
        <w:bidi w:val="0"/>
        <w:adjustRightInd w:val="0"/>
        <w:snapToGrid/>
        <w:spacing w:line="560" w:lineRule="exact"/>
        <w:ind w:firstLine="640" w:firstLineChars="200"/>
        <w:contextualSpacing/>
        <w:jc w:val="left"/>
        <w:textAlignment w:val="auto"/>
        <w:outlineLvl w:val="9"/>
        <w:rPr>
          <w:rFonts w:hint="default" w:ascii="Times New Roman" w:hAnsi="Times New Roman" w:cs="Times New Roman"/>
          <w:sz w:val="32"/>
          <w:szCs w:val="32"/>
        </w:rPr>
      </w:pPr>
      <w:r>
        <w:rPr>
          <w:rFonts w:hint="default" w:ascii="Times New Roman" w:hAnsi="Times New Roman" w:eastAsia="黑体" w:cs="Times New Roman"/>
          <w:color w:val="000000"/>
          <w:kern w:val="0"/>
          <w:sz w:val="32"/>
          <w:szCs w:val="32"/>
          <w:highlight w:val="none"/>
          <w:shd w:val="clear" w:color="auto" w:fill="FFFFFF"/>
          <w:lang w:val="zh-CN"/>
        </w:rPr>
        <w:t>一、部门</w:t>
      </w:r>
      <w:r>
        <w:rPr>
          <w:rFonts w:hint="eastAsia" w:eastAsia="黑体" w:cs="Times New Roman"/>
          <w:color w:val="000000"/>
          <w:kern w:val="0"/>
          <w:sz w:val="32"/>
          <w:szCs w:val="32"/>
          <w:highlight w:val="none"/>
          <w:shd w:val="clear" w:color="auto" w:fill="FFFFFF"/>
          <w:lang w:val="zh-CN"/>
        </w:rPr>
        <w:t>（单位）</w:t>
      </w:r>
      <w:r>
        <w:rPr>
          <w:rFonts w:hint="default" w:ascii="Times New Roman" w:hAnsi="Times New Roman" w:eastAsia="黑体" w:cs="Times New Roman"/>
          <w:color w:val="000000"/>
          <w:kern w:val="0"/>
          <w:sz w:val="32"/>
          <w:szCs w:val="32"/>
          <w:highlight w:val="none"/>
          <w:shd w:val="clear" w:color="auto" w:fill="FFFFFF"/>
          <w:lang w:val="zh-CN"/>
        </w:rPr>
        <w:t>基本情况</w:t>
      </w:r>
    </w:p>
    <w:p w14:paraId="1E1F1E71">
      <w:pPr>
        <w:keepNext w:val="0"/>
        <w:keepLines w:val="0"/>
        <w:pageBreakBefore w:val="0"/>
        <w:widowControl/>
        <w:numPr>
          <w:ilvl w:val="0"/>
          <w:numId w:val="0"/>
        </w:numPr>
        <w:kinsoku/>
        <w:wordWrap/>
        <w:overflowPunct/>
        <w:topLinePunct w:val="0"/>
        <w:autoSpaceDE/>
        <w:autoSpaceDN/>
        <w:bidi w:val="0"/>
        <w:adjustRightInd w:val="0"/>
        <w:snapToGrid/>
        <w:spacing w:line="560" w:lineRule="exact"/>
        <w:ind w:firstLine="643" w:firstLineChars="200"/>
        <w:contextualSpacing/>
        <w:jc w:val="left"/>
        <w:textAlignment w:val="auto"/>
        <w:outlineLvl w:val="9"/>
        <w:rPr>
          <w:rFonts w:hint="default" w:ascii="Times New Roman" w:hAnsi="Times New Roman" w:cs="Times New Roman"/>
          <w:sz w:val="32"/>
          <w:szCs w:val="32"/>
        </w:rPr>
      </w:pPr>
      <w:r>
        <w:rPr>
          <w:rFonts w:hint="eastAsia" w:eastAsia="楷体_GB2312" w:cs="Times New Roman"/>
          <w:b/>
          <w:bCs/>
          <w:color w:val="000000"/>
          <w:kern w:val="0"/>
          <w:sz w:val="32"/>
          <w:szCs w:val="32"/>
          <w:highlight w:val="none"/>
          <w:shd w:val="clear" w:color="auto" w:fill="FFFFFF"/>
          <w:lang w:val="zh-CN"/>
        </w:rPr>
        <w:t>（一）</w:t>
      </w:r>
      <w:r>
        <w:rPr>
          <w:rFonts w:hint="default" w:ascii="Times New Roman" w:hAnsi="Times New Roman" w:eastAsia="楷体_GB2312" w:cs="Times New Roman"/>
          <w:b/>
          <w:bCs/>
          <w:color w:val="000000"/>
          <w:kern w:val="0"/>
          <w:sz w:val="32"/>
          <w:szCs w:val="32"/>
          <w:highlight w:val="none"/>
          <w:shd w:val="clear" w:color="auto" w:fill="FFFFFF"/>
          <w:lang w:val="zh-CN"/>
        </w:rPr>
        <w:t>机构组成。</w:t>
      </w:r>
    </w:p>
    <w:p w14:paraId="234212D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（1）独立编制机构数1个，独立核算机构数1个，无变动。</w:t>
      </w:r>
    </w:p>
    <w:p w14:paraId="011847AB">
      <w:pPr>
        <w:keepNext w:val="0"/>
        <w:keepLines w:val="0"/>
        <w:pageBreakBefore w:val="0"/>
        <w:widowControl/>
        <w:kinsoku/>
        <w:wordWrap/>
        <w:overflowPunct/>
        <w:topLinePunct w:val="0"/>
        <w:autoSpaceDE/>
        <w:autoSpaceDN/>
        <w:bidi w:val="0"/>
        <w:adjustRightInd w:val="0"/>
        <w:snapToGrid/>
        <w:spacing w:line="560" w:lineRule="exact"/>
        <w:ind w:firstLine="640" w:firstLineChars="200"/>
        <w:contextualSpacing/>
        <w:jc w:val="left"/>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（2）内设股室行政</w:t>
      </w:r>
      <w:r>
        <w:rPr>
          <w:rFonts w:hint="eastAsia" w:ascii="仿宋_GB2312" w:hAnsi="仿宋_GB2312" w:cs="仿宋_GB2312"/>
          <w:color w:val="auto"/>
          <w:sz w:val="32"/>
          <w:szCs w:val="32"/>
          <w:lang w:val="en-US" w:eastAsia="zh-CN"/>
        </w:rPr>
        <w:t>3</w:t>
      </w:r>
      <w:r>
        <w:rPr>
          <w:rFonts w:hint="eastAsia" w:ascii="仿宋_GB2312" w:hAnsi="仿宋_GB2312" w:eastAsia="仿宋_GB2312" w:cs="仿宋_GB2312"/>
          <w:color w:val="auto"/>
          <w:sz w:val="32"/>
          <w:szCs w:val="32"/>
          <w:lang w:val="en-US" w:eastAsia="zh-CN"/>
        </w:rPr>
        <w:t>个：办公室、生态修复股、森林和草原资源管理股；下设事业单位12个：下设</w:t>
      </w:r>
      <w:r>
        <w:rPr>
          <w:rFonts w:hint="eastAsia" w:ascii="仿宋_GB2312" w:hAnsi="仿宋" w:eastAsia="仿宋_GB2312"/>
          <w:sz w:val="32"/>
          <w:szCs w:val="32"/>
        </w:rPr>
        <w:t>森林植物检疫站</w:t>
      </w:r>
      <w:r>
        <w:rPr>
          <w:rFonts w:hint="eastAsia" w:ascii="仿宋_GB2312" w:hAnsi="仿宋_GB2312" w:eastAsia="仿宋_GB2312" w:cs="仿宋_GB2312"/>
          <w:color w:val="auto"/>
          <w:sz w:val="32"/>
          <w:szCs w:val="32"/>
          <w:lang w:val="en-US" w:eastAsia="zh-CN"/>
        </w:rPr>
        <w:t>、资源林政股、造林股、</w:t>
      </w:r>
      <w:r>
        <w:rPr>
          <w:rFonts w:hint="eastAsia" w:ascii="仿宋_GB2312" w:hAnsi="仿宋" w:eastAsia="仿宋_GB2312"/>
          <w:sz w:val="32"/>
          <w:szCs w:val="32"/>
        </w:rPr>
        <w:t>退耕</w:t>
      </w:r>
      <w:r>
        <w:rPr>
          <w:rFonts w:hint="eastAsia" w:ascii="仿宋_GB2312" w:hAnsi="仿宋" w:eastAsia="仿宋_GB2312"/>
          <w:sz w:val="32"/>
          <w:szCs w:val="32"/>
          <w:lang w:eastAsia="zh-CN"/>
        </w:rPr>
        <w:t>还林工程服务中心</w:t>
      </w:r>
      <w:r>
        <w:rPr>
          <w:rFonts w:hint="eastAsia" w:ascii="仿宋_GB2312" w:hAnsi="仿宋_GB2312" w:eastAsia="仿宋_GB2312" w:cs="仿宋_GB2312"/>
          <w:color w:val="auto"/>
          <w:sz w:val="32"/>
          <w:szCs w:val="32"/>
          <w:lang w:val="en-US" w:eastAsia="zh-CN"/>
        </w:rPr>
        <w:t>、</w:t>
      </w:r>
      <w:r>
        <w:rPr>
          <w:rFonts w:hint="eastAsia" w:ascii="仿宋_GB2312" w:hAnsi="仿宋" w:eastAsia="仿宋_GB2312"/>
          <w:sz w:val="32"/>
          <w:szCs w:val="32"/>
        </w:rPr>
        <w:t>天然林资源保护工程服务中心</w:t>
      </w:r>
      <w:r>
        <w:rPr>
          <w:rFonts w:hint="eastAsia" w:ascii="仿宋_GB2312" w:hAnsi="仿宋_GB2312" w:eastAsia="仿宋_GB2312" w:cs="仿宋_GB2312"/>
          <w:color w:val="auto"/>
          <w:sz w:val="32"/>
          <w:szCs w:val="32"/>
          <w:lang w:val="en-US" w:eastAsia="zh-CN"/>
        </w:rPr>
        <w:t>、色尔古木材检查站、芦花</w:t>
      </w:r>
      <w:r>
        <w:rPr>
          <w:rFonts w:hint="eastAsia" w:ascii="仿宋_GB2312" w:hAnsi="仿宋_GB2312" w:cs="仿宋_GB2312"/>
          <w:color w:val="auto"/>
          <w:sz w:val="32"/>
          <w:szCs w:val="32"/>
          <w:lang w:val="en-US" w:eastAsia="zh-CN"/>
        </w:rPr>
        <w:t>林业工作</w:t>
      </w:r>
      <w:r>
        <w:rPr>
          <w:rFonts w:hint="eastAsia" w:ascii="仿宋_GB2312" w:hAnsi="仿宋_GB2312" w:eastAsia="仿宋_GB2312" w:cs="仿宋_GB2312"/>
          <w:color w:val="auto"/>
          <w:sz w:val="32"/>
          <w:szCs w:val="32"/>
          <w:lang w:val="en-US" w:eastAsia="zh-CN"/>
        </w:rPr>
        <w:t>站、</w:t>
      </w:r>
      <w:r>
        <w:rPr>
          <w:rFonts w:hint="eastAsia" w:ascii="仿宋_GB2312" w:hAnsi="仿宋" w:eastAsia="仿宋_GB2312"/>
          <w:sz w:val="32"/>
          <w:szCs w:val="32"/>
        </w:rPr>
        <w:t>野</w:t>
      </w:r>
      <w:r>
        <w:rPr>
          <w:rFonts w:hint="eastAsia" w:ascii="仿宋_GB2312" w:hAnsi="仿宋" w:eastAsia="仿宋_GB2312"/>
          <w:sz w:val="32"/>
          <w:szCs w:val="32"/>
          <w:lang w:eastAsia="zh-CN"/>
        </w:rPr>
        <w:t>生动物</w:t>
      </w:r>
      <w:r>
        <w:rPr>
          <w:rFonts w:hint="eastAsia" w:ascii="仿宋_GB2312" w:hAnsi="仿宋"/>
          <w:sz w:val="32"/>
          <w:szCs w:val="32"/>
          <w:lang w:val="en-US" w:eastAsia="zh-CN"/>
        </w:rPr>
        <w:t>保护</w:t>
      </w:r>
      <w:r>
        <w:rPr>
          <w:rFonts w:hint="eastAsia" w:ascii="仿宋_GB2312" w:hAnsi="仿宋" w:eastAsia="仿宋_GB2312"/>
          <w:sz w:val="32"/>
          <w:szCs w:val="32"/>
        </w:rPr>
        <w:t>股</w:t>
      </w:r>
      <w:r>
        <w:rPr>
          <w:rFonts w:hint="eastAsia" w:ascii="仿宋_GB2312" w:hAnsi="仿宋_GB2312" w:eastAsia="仿宋_GB2312" w:cs="仿宋_GB2312"/>
          <w:color w:val="auto"/>
          <w:sz w:val="32"/>
          <w:szCs w:val="32"/>
          <w:lang w:val="en-US" w:eastAsia="zh-CN"/>
        </w:rPr>
        <w:t>、西尔</w:t>
      </w:r>
      <w:r>
        <w:rPr>
          <w:rFonts w:hint="eastAsia" w:ascii="仿宋_GB2312" w:hAnsi="仿宋_GB2312" w:cs="仿宋_GB2312"/>
          <w:color w:val="auto"/>
          <w:sz w:val="32"/>
          <w:szCs w:val="32"/>
          <w:lang w:val="en-US" w:eastAsia="zh-CN"/>
        </w:rPr>
        <w:t>林业工作</w:t>
      </w:r>
      <w:r>
        <w:rPr>
          <w:rFonts w:hint="eastAsia" w:ascii="仿宋_GB2312" w:hAnsi="仿宋_GB2312" w:eastAsia="仿宋_GB2312" w:cs="仿宋_GB2312"/>
          <w:color w:val="auto"/>
          <w:sz w:val="32"/>
          <w:szCs w:val="32"/>
          <w:lang w:val="en-US" w:eastAsia="zh-CN"/>
        </w:rPr>
        <w:t>站、知木林</w:t>
      </w:r>
      <w:r>
        <w:rPr>
          <w:rFonts w:hint="eastAsia" w:ascii="仿宋_GB2312" w:hAnsi="仿宋_GB2312" w:cs="仿宋_GB2312"/>
          <w:color w:val="auto"/>
          <w:sz w:val="32"/>
          <w:szCs w:val="32"/>
          <w:lang w:val="en-US" w:eastAsia="zh-CN"/>
        </w:rPr>
        <w:t>林业工作</w:t>
      </w:r>
      <w:r>
        <w:rPr>
          <w:rFonts w:hint="eastAsia" w:ascii="仿宋_GB2312" w:hAnsi="仿宋_GB2312" w:eastAsia="仿宋_GB2312" w:cs="仿宋_GB2312"/>
          <w:color w:val="auto"/>
          <w:sz w:val="32"/>
          <w:szCs w:val="32"/>
          <w:lang w:val="en-US" w:eastAsia="zh-CN"/>
        </w:rPr>
        <w:t>站、维古</w:t>
      </w:r>
      <w:r>
        <w:rPr>
          <w:rFonts w:hint="eastAsia" w:ascii="仿宋_GB2312" w:hAnsi="仿宋_GB2312" w:cs="仿宋_GB2312"/>
          <w:color w:val="auto"/>
          <w:sz w:val="32"/>
          <w:szCs w:val="32"/>
          <w:lang w:val="en-US" w:eastAsia="zh-CN"/>
        </w:rPr>
        <w:t>林业工作</w:t>
      </w:r>
      <w:r>
        <w:rPr>
          <w:rFonts w:hint="eastAsia" w:ascii="仿宋_GB2312" w:hAnsi="仿宋_GB2312" w:eastAsia="仿宋_GB2312" w:cs="仿宋_GB2312"/>
          <w:color w:val="auto"/>
          <w:sz w:val="32"/>
          <w:szCs w:val="32"/>
          <w:lang w:val="en-US" w:eastAsia="zh-CN"/>
        </w:rPr>
        <w:t>站</w:t>
      </w:r>
      <w:r>
        <w:rPr>
          <w:rFonts w:hint="eastAsia" w:ascii="仿宋_GB2312" w:hAnsi="仿宋_GB2312" w:cs="仿宋_GB2312"/>
          <w:color w:val="auto"/>
          <w:sz w:val="32"/>
          <w:szCs w:val="32"/>
          <w:lang w:val="en-US" w:eastAsia="zh-CN"/>
        </w:rPr>
        <w:t>、国有林保护中心</w:t>
      </w:r>
      <w:r>
        <w:rPr>
          <w:rFonts w:hint="eastAsia" w:ascii="仿宋_GB2312" w:hAnsi="仿宋_GB2312" w:eastAsia="仿宋_GB2312" w:cs="仿宋_GB2312"/>
          <w:color w:val="auto"/>
          <w:sz w:val="32"/>
          <w:szCs w:val="32"/>
          <w:lang w:val="en-US" w:eastAsia="zh-CN"/>
        </w:rPr>
        <w:t>,其中：</w:t>
      </w:r>
      <w:r>
        <w:rPr>
          <w:rFonts w:hint="eastAsia" w:ascii="仿宋_GB2312" w:hAnsi="仿宋" w:eastAsia="仿宋_GB2312"/>
          <w:sz w:val="32"/>
          <w:szCs w:val="32"/>
        </w:rPr>
        <w:t>森林</w:t>
      </w:r>
      <w:r>
        <w:rPr>
          <w:rFonts w:hint="eastAsia" w:ascii="仿宋_GB2312" w:hAnsi="仿宋_GB2312" w:eastAsia="仿宋_GB2312" w:cs="仿宋_GB2312"/>
          <w:color w:val="auto"/>
          <w:sz w:val="32"/>
          <w:szCs w:val="32"/>
          <w:lang w:val="en-US" w:eastAsia="zh-CN"/>
        </w:rPr>
        <w:t>植物检疫站参公事业单位。</w:t>
      </w:r>
    </w:p>
    <w:p w14:paraId="1841C018">
      <w:pPr>
        <w:keepNext w:val="0"/>
        <w:keepLines w:val="0"/>
        <w:pageBreakBefore w:val="0"/>
        <w:widowControl/>
        <w:kinsoku/>
        <w:wordWrap/>
        <w:overflowPunct/>
        <w:topLinePunct w:val="0"/>
        <w:autoSpaceDE/>
        <w:autoSpaceDN/>
        <w:bidi w:val="0"/>
        <w:adjustRightInd w:val="0"/>
        <w:snapToGrid/>
        <w:spacing w:line="560"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（二）机构职能。</w:t>
      </w:r>
    </w:p>
    <w:p w14:paraId="610DD840">
      <w:pPr>
        <w:keepNext w:val="0"/>
        <w:keepLines w:val="0"/>
        <w:pageBreakBefore w:val="0"/>
        <w:widowControl w:val="0"/>
        <w:kinsoku/>
        <w:wordWrap/>
        <w:overflowPunct/>
        <w:topLinePunct w:val="0"/>
        <w:autoSpaceDE/>
        <w:autoSpaceDN/>
        <w:bidi w:val="0"/>
        <w:adjustRightInd/>
        <w:snapToGrid/>
        <w:spacing w:line="560" w:lineRule="exact"/>
        <w:ind w:left="278" w:leftChars="87"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1.主要职能。</w:t>
      </w:r>
    </w:p>
    <w:p w14:paraId="1A0F7BCE">
      <w:pPr>
        <w:keepNext w:val="0"/>
        <w:keepLines w:val="0"/>
        <w:pageBreakBefore w:val="0"/>
        <w:widowControl w:val="0"/>
        <w:kinsoku/>
        <w:wordWrap/>
        <w:overflowPunct/>
        <w:topLinePunct w:val="0"/>
        <w:autoSpaceDE/>
        <w:autoSpaceDN/>
        <w:bidi w:val="0"/>
        <w:adjustRightInd/>
        <w:snapToGrid/>
        <w:spacing w:line="560" w:lineRule="exact"/>
        <w:ind w:left="278" w:leftChars="87"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贯彻执行有关林业法律、法规、规章方针政策、决定、决议,对执行情况进行监督检查;负责全县林业及生态建设的监督管理;组织、协调、指导和监督全县造林绿化工作;承担全县森林资源保护发展监督管理责任组织、指导全县陆生野生动植物资源的保护和合理开发利用;负责林业系统自然保护区的监督管理;承担推进林业改革,维护农民和其他经营者的经营林业合法权益的责任;监督检查各产业对森林、湿地、荒漠和陆生野生动植物资源的开发利用;承担组织、协调、指导、监督森林防火工作的责任;负责指导、协调全县林业经济工作;负责规划和指导山区林业综合开发,配合有关部门做好退耕还林、水土保持农村能源开发、林业扶贫等组织指导工作等。</w:t>
      </w:r>
    </w:p>
    <w:p w14:paraId="5A2E00A5">
      <w:pPr>
        <w:keepNext w:val="0"/>
        <w:keepLines w:val="0"/>
        <w:pageBreakBefore w:val="0"/>
        <w:widowControl w:val="0"/>
        <w:kinsoku/>
        <w:wordWrap/>
        <w:overflowPunct/>
        <w:topLinePunct w:val="0"/>
        <w:autoSpaceDE/>
        <w:autoSpaceDN/>
        <w:bidi w:val="0"/>
        <w:adjustRightInd/>
        <w:snapToGrid/>
        <w:spacing w:line="560" w:lineRule="exact"/>
        <w:ind w:left="278" w:leftChars="87"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我局是黑水县人民政府组阁局，是财政全额拨款的一类公益性事业单位。主要有以下职能：</w:t>
      </w:r>
    </w:p>
    <w:p w14:paraId="14A90911">
      <w:pPr>
        <w:keepNext w:val="0"/>
        <w:keepLines w:val="0"/>
        <w:pageBreakBefore w:val="0"/>
        <w:widowControl w:val="0"/>
        <w:kinsoku/>
        <w:wordWrap/>
        <w:overflowPunct/>
        <w:topLinePunct w:val="0"/>
        <w:autoSpaceDE/>
        <w:autoSpaceDN/>
        <w:bidi w:val="0"/>
        <w:adjustRightInd/>
        <w:snapToGrid/>
        <w:spacing w:line="560" w:lineRule="exact"/>
        <w:ind w:left="278" w:leftChars="87"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贯彻执行有关环境保护、林业法律、法规、规章、方针政策、决定、决议，对执行情况进行监督检查。拟订环境保护、林业相关规章制度、发展战略、中长期规划及年度工作计划，起草相关规范性文件并监督实施。会同有关部门拟定和监督实施重点区域、重点流域的污染防治规划、饮用水水源地环境保护规划。</w:t>
      </w:r>
    </w:p>
    <w:p w14:paraId="7D5537C1">
      <w:pPr>
        <w:keepNext w:val="0"/>
        <w:keepLines w:val="0"/>
        <w:pageBreakBefore w:val="0"/>
        <w:widowControl w:val="0"/>
        <w:kinsoku/>
        <w:wordWrap/>
        <w:overflowPunct/>
        <w:topLinePunct w:val="0"/>
        <w:autoSpaceDE/>
        <w:autoSpaceDN/>
        <w:bidi w:val="0"/>
        <w:adjustRightInd/>
        <w:snapToGrid/>
        <w:spacing w:line="560" w:lineRule="exact"/>
        <w:ind w:left="278" w:leftChars="87"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(2)对全县重大经济发展规划以及重大经济开发计划进行环境影响评价，按规定审批开发建设区域、项目环境影响评价文件, 承担县政府批准保留的林业行政审批事项。</w:t>
      </w:r>
    </w:p>
    <w:p w14:paraId="0AB65270">
      <w:pPr>
        <w:keepNext w:val="0"/>
        <w:keepLines w:val="0"/>
        <w:pageBreakBefore w:val="0"/>
        <w:widowControl w:val="0"/>
        <w:kinsoku/>
        <w:wordWrap/>
        <w:overflowPunct/>
        <w:topLinePunct w:val="0"/>
        <w:autoSpaceDE/>
        <w:autoSpaceDN/>
        <w:bidi w:val="0"/>
        <w:adjustRightInd/>
        <w:snapToGrid/>
        <w:spacing w:line="560" w:lineRule="exact"/>
        <w:ind w:left="278" w:leftChars="87"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(3)负责全县水体、大气、土壤、噪声、辐射、固体废物、化学品及机动车等污染防治工作，负责全县核安全、辐射环境、放射性废物管理工作，参与核事故、辐射环境事故应急工作，对核设施安全和电磁辐射、核技术应用、放射性矿产资源开发利用中的污染防治工作实行监督管理。会同有关部门监督管理饮用水源地保护工作。</w:t>
      </w:r>
    </w:p>
    <w:p w14:paraId="71E424EE">
      <w:pPr>
        <w:keepNext w:val="0"/>
        <w:keepLines w:val="0"/>
        <w:pageBreakBefore w:val="0"/>
        <w:widowControl w:val="0"/>
        <w:kinsoku/>
        <w:wordWrap/>
        <w:overflowPunct/>
        <w:topLinePunct w:val="0"/>
        <w:autoSpaceDE/>
        <w:autoSpaceDN/>
        <w:bidi w:val="0"/>
        <w:adjustRightInd/>
        <w:snapToGrid/>
        <w:spacing w:line="560" w:lineRule="exact"/>
        <w:ind w:left="278" w:leftChars="87"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 (4)依照规定对建设项目的环境影响、排污收费、排污许可证、污染限期治理进行监督管理，督查、督办、核查污染物减排任务完成情况，组织实施环境保护目标责任制、总量减排考核工作。</w:t>
      </w:r>
    </w:p>
    <w:p w14:paraId="435FB323">
      <w:pPr>
        <w:keepNext w:val="0"/>
        <w:keepLines w:val="0"/>
        <w:pageBreakBefore w:val="0"/>
        <w:widowControl w:val="0"/>
        <w:kinsoku/>
        <w:wordWrap/>
        <w:overflowPunct/>
        <w:topLinePunct w:val="0"/>
        <w:autoSpaceDE/>
        <w:autoSpaceDN/>
        <w:bidi w:val="0"/>
        <w:adjustRightInd/>
        <w:snapToGrid/>
        <w:spacing w:line="560" w:lineRule="exact"/>
        <w:ind w:left="278" w:leftChars="87"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 (5)监督执行国家、省、州颁布的各类环境质量标准和污染物排放标准；监督管理环境污染防治和城乡环境综合治理工作，调查处理环境污染事故、生态破坏事件及污染纠纷。</w:t>
      </w:r>
    </w:p>
    <w:p w14:paraId="744086D9">
      <w:pPr>
        <w:keepNext w:val="0"/>
        <w:keepLines w:val="0"/>
        <w:pageBreakBefore w:val="0"/>
        <w:widowControl w:val="0"/>
        <w:kinsoku/>
        <w:wordWrap/>
        <w:overflowPunct/>
        <w:topLinePunct w:val="0"/>
        <w:autoSpaceDE/>
        <w:autoSpaceDN/>
        <w:bidi w:val="0"/>
        <w:adjustRightInd/>
        <w:snapToGrid/>
        <w:spacing w:line="560" w:lineRule="exact"/>
        <w:ind w:left="278" w:leftChars="87"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 (6)负责全县环境监测、统计、信息工作，制定环境监测制度和管理规范，建设和管理全县环境信息网、组织环境质量监测和污染监督性监测。</w:t>
      </w:r>
    </w:p>
    <w:p w14:paraId="52946C97">
      <w:pPr>
        <w:keepNext w:val="0"/>
        <w:keepLines w:val="0"/>
        <w:pageBreakBefore w:val="0"/>
        <w:widowControl w:val="0"/>
        <w:kinsoku/>
        <w:wordWrap/>
        <w:overflowPunct/>
        <w:topLinePunct w:val="0"/>
        <w:autoSpaceDE/>
        <w:autoSpaceDN/>
        <w:bidi w:val="0"/>
        <w:adjustRightInd/>
        <w:snapToGrid/>
        <w:spacing w:line="560" w:lineRule="exact"/>
        <w:ind w:left="278" w:leftChars="87"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 (7)负责全县林业及生态建设的监督管理。指导、协调林业产业建设总体布局、林业产业结构调整和林业经济体制改革；组织开展全县森林资源、陆生野生动植物资源、湿地和荒漠调查、动态监测和评估，并统一发布相关信息；承担林业生态文明建设有关工作。</w:t>
      </w:r>
    </w:p>
    <w:p w14:paraId="21482D3C">
      <w:pPr>
        <w:keepNext w:val="0"/>
        <w:keepLines w:val="0"/>
        <w:pageBreakBefore w:val="0"/>
        <w:widowControl w:val="0"/>
        <w:kinsoku/>
        <w:wordWrap/>
        <w:overflowPunct/>
        <w:topLinePunct w:val="0"/>
        <w:autoSpaceDE/>
        <w:autoSpaceDN/>
        <w:bidi w:val="0"/>
        <w:adjustRightInd/>
        <w:snapToGrid/>
        <w:spacing w:line="560" w:lineRule="exact"/>
        <w:ind w:left="278" w:leftChars="87"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 (8)组织、协调、指导和监督全县造林绿化工作。制定造林绿化规划和年度指导性计划，拟定相关地方标准和规程并监督执行；指导各类公益林和商品林的培育，指导植树造林、封山育林和以植树种草等生物措施防治水土流失工作，组织、指导和监督全民义务植树、造林绿化工作；承担县绿化委员会的具体工作；指导县林场和基层林业工作机构的建设和管理。</w:t>
      </w:r>
    </w:p>
    <w:p w14:paraId="2FC1E3DE">
      <w:pPr>
        <w:keepNext w:val="0"/>
        <w:keepLines w:val="0"/>
        <w:pageBreakBefore w:val="0"/>
        <w:widowControl w:val="0"/>
        <w:kinsoku/>
        <w:wordWrap/>
        <w:overflowPunct/>
        <w:topLinePunct w:val="0"/>
        <w:autoSpaceDE/>
        <w:autoSpaceDN/>
        <w:bidi w:val="0"/>
        <w:adjustRightInd/>
        <w:snapToGrid/>
        <w:spacing w:line="560" w:lineRule="exact"/>
        <w:ind w:left="278" w:leftChars="87"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(9)承担全县森林资源保护发展监督管理的责任。贯彻执行国家、省、州森林采伐限额和林地保护利用规划，负责森林资源保护管理的基础设施建设，组织森林资源调查、动态监测和统计。组织、指导林地、林权管理，组织实施林权登记、发证工作，拟定林地保护利用规划并指导实施，依法承担林地征用、占用的初审工作，管理重点国有林区的国有森林资源，承担国有森林资源资产产权变动的初审报批工作。</w:t>
      </w:r>
    </w:p>
    <w:p w14:paraId="60166994">
      <w:pPr>
        <w:keepNext w:val="0"/>
        <w:keepLines w:val="0"/>
        <w:pageBreakBefore w:val="0"/>
        <w:widowControl w:val="0"/>
        <w:kinsoku/>
        <w:wordWrap/>
        <w:overflowPunct/>
        <w:topLinePunct w:val="0"/>
        <w:autoSpaceDE/>
        <w:autoSpaceDN/>
        <w:bidi w:val="0"/>
        <w:adjustRightInd/>
        <w:snapToGrid/>
        <w:spacing w:line="560" w:lineRule="exact"/>
        <w:ind w:left="278" w:leftChars="87"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(10)</w:t>
      </w:r>
      <w:r>
        <w:rPr>
          <w:rFonts w:hint="eastAsia" w:ascii="仿宋_GB2312" w:hAnsi="仿宋_GB2312" w:eastAsia="仿宋_GB2312" w:cs="仿宋_GB2312"/>
          <w:color w:val="auto"/>
          <w:sz w:val="32"/>
          <w:szCs w:val="32"/>
          <w:lang w:val="en-US" w:eastAsia="zh-CN"/>
        </w:rPr>
        <w:t>组织、指导全县陆生野生动植物资源的保护和合理开发利用。拟定重点保护的陆生野生动物、植物名录；依法组织、指导陆生野生动植物的救护繁育、栖息地恢复发展、疫源疫病监测，监督管理陆生野生动植物猎捕和采集、驯养繁殖</w:t>
      </w:r>
      <w:r>
        <w:rPr>
          <w:rFonts w:hint="eastAsia" w:ascii="仿宋_GB2312" w:hAnsi="仿宋_GB2312" w:cs="仿宋_GB2312"/>
          <w:color w:val="auto"/>
          <w:sz w:val="32"/>
          <w:szCs w:val="32"/>
          <w:lang w:val="en-US" w:eastAsia="zh-CN"/>
        </w:rPr>
        <w:t>和</w:t>
      </w:r>
      <w:r>
        <w:rPr>
          <w:rFonts w:hint="eastAsia" w:ascii="仿宋_GB2312" w:hAnsi="仿宋_GB2312" w:eastAsia="仿宋_GB2312" w:cs="仿宋_GB2312"/>
          <w:color w:val="auto"/>
          <w:sz w:val="32"/>
          <w:szCs w:val="32"/>
          <w:lang w:val="en-US" w:eastAsia="zh-CN"/>
        </w:rPr>
        <w:t>培育、经营利用，监督管理野生动植物进出口；承担濒危物种进出口和国家、省保护的野生动植物、珍稀物种、珍稀野生植物及其产品出口的审核报批工作。</w:t>
      </w:r>
    </w:p>
    <w:p w14:paraId="1361C283">
      <w:pPr>
        <w:keepNext w:val="0"/>
        <w:keepLines w:val="0"/>
        <w:pageBreakBefore w:val="0"/>
        <w:widowControl w:val="0"/>
        <w:kinsoku/>
        <w:wordWrap/>
        <w:overflowPunct/>
        <w:topLinePunct w:val="0"/>
        <w:autoSpaceDE/>
        <w:autoSpaceDN/>
        <w:bidi w:val="0"/>
        <w:adjustRightInd/>
        <w:snapToGrid/>
        <w:spacing w:line="560" w:lineRule="exact"/>
        <w:ind w:left="278" w:leftChars="87"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(11)负责林业系统自然保护区的监督管理。在国家自然保护区区划、规划原则的指导下，依法指导森林、湿地、荒漠化和陆生野生动物类型自然保护区的建设和管理；组织协调有关国际公约的履约工作，监督管理林业生物种质资源、转基因生物安全、植物新品种保护，按分工负责生物多样性保护的有关工作；指导林业有害生物的防治、检疫工作。</w:t>
      </w:r>
    </w:p>
    <w:p w14:paraId="00102ED6">
      <w:pPr>
        <w:keepNext w:val="0"/>
        <w:keepLines w:val="0"/>
        <w:pageBreakBefore w:val="0"/>
        <w:widowControl w:val="0"/>
        <w:kinsoku/>
        <w:wordWrap/>
        <w:overflowPunct/>
        <w:topLinePunct w:val="0"/>
        <w:autoSpaceDE/>
        <w:autoSpaceDN/>
        <w:bidi w:val="0"/>
        <w:adjustRightInd/>
        <w:snapToGrid/>
        <w:spacing w:line="560" w:lineRule="exact"/>
        <w:ind w:left="278" w:leftChars="87"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(12)承担推进林业改革，维护农民和其他经营者的经营林业合法权益的责任。贯彻执行国家的有关林业改革的意见和政策，拟定林业改革的相关实施意见和政策并指导监督实施；拟定农村林地发展、维护农民和其他经营者经营林业合法权益的规章制度，指导、监督农村林地承包经营和林权流转，指导林权纠纷调处和林地承包合同纠纷仲裁。</w:t>
      </w:r>
    </w:p>
    <w:p w14:paraId="0369E06B">
      <w:pPr>
        <w:keepNext w:val="0"/>
        <w:keepLines w:val="0"/>
        <w:pageBreakBefore w:val="0"/>
        <w:widowControl w:val="0"/>
        <w:kinsoku/>
        <w:wordWrap/>
        <w:overflowPunct/>
        <w:topLinePunct w:val="0"/>
        <w:autoSpaceDE/>
        <w:autoSpaceDN/>
        <w:bidi w:val="0"/>
        <w:adjustRightInd/>
        <w:snapToGrid/>
        <w:spacing w:line="560" w:lineRule="exact"/>
        <w:ind w:left="278" w:leftChars="87"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(13)监督检查各产业对森林、湿地、荒漠和陆生野生动植物资源的开发利用。贯彻执行国家有关林业资源优化配置政策及产业标准，拟定林业产业发展规划和相关政策措施并监督实施；组织指导林产品质量监督。</w:t>
      </w:r>
    </w:p>
    <w:p w14:paraId="7CA7C01D">
      <w:pPr>
        <w:keepNext w:val="0"/>
        <w:keepLines w:val="0"/>
        <w:pageBreakBefore w:val="0"/>
        <w:widowControl w:val="0"/>
        <w:kinsoku/>
        <w:wordWrap/>
        <w:overflowPunct/>
        <w:topLinePunct w:val="0"/>
        <w:autoSpaceDE/>
        <w:autoSpaceDN/>
        <w:bidi w:val="0"/>
        <w:adjustRightInd/>
        <w:snapToGrid/>
        <w:spacing w:line="560" w:lineRule="exact"/>
        <w:ind w:left="278" w:leftChars="87"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(14)</w:t>
      </w:r>
      <w:bookmarkStart w:id="0" w:name="_GoBack"/>
      <w:bookmarkEnd w:id="0"/>
      <w:r>
        <w:rPr>
          <w:rFonts w:hint="eastAsia" w:ascii="仿宋_GB2312" w:hAnsi="仿宋_GB2312" w:eastAsia="仿宋_GB2312" w:cs="仿宋_GB2312"/>
          <w:color w:val="auto"/>
          <w:sz w:val="32"/>
          <w:szCs w:val="32"/>
          <w:lang w:val="en-US" w:eastAsia="zh-CN"/>
        </w:rPr>
        <w:t>承担组织、协调、指导、监督森林防火工作的责任。组织、协调、指导森林防火队伍建设防扑火工作；承担县森林防火指挥部的具体工作；承担林业行政执法监管的责任，指导县森林公安工作，监督管理森林公安队伍，指导林业重大违法案件的查处。</w:t>
      </w:r>
    </w:p>
    <w:p w14:paraId="696745B1">
      <w:pPr>
        <w:keepNext w:val="0"/>
        <w:keepLines w:val="0"/>
        <w:pageBreakBefore w:val="0"/>
        <w:widowControl w:val="0"/>
        <w:kinsoku/>
        <w:wordWrap/>
        <w:overflowPunct/>
        <w:topLinePunct w:val="0"/>
        <w:autoSpaceDE/>
        <w:autoSpaceDN/>
        <w:bidi w:val="0"/>
        <w:adjustRightInd/>
        <w:snapToGrid/>
        <w:spacing w:line="560" w:lineRule="exact"/>
        <w:ind w:left="278" w:leftChars="87"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(15)负责指导、协调全县林业经济工作。引导林业产业结构的合理调整和林业资源管理的合理配置，指导科学合理地开发利用林地；编制部门预算并组织实施，负责林业资金的管理和使用；监管国有林业资产；负责提出林业固定资产投资规模方向，审核重点林业建设项目，提出县财政性资金安排意见或建议；编制林业及其生态建设的年度计划，检查监督全县林业基金征收管理工作，负责林业统计工作。</w:t>
      </w:r>
    </w:p>
    <w:p w14:paraId="6D7B1B03">
      <w:pPr>
        <w:keepNext w:val="0"/>
        <w:keepLines w:val="0"/>
        <w:pageBreakBefore w:val="0"/>
        <w:widowControl w:val="0"/>
        <w:kinsoku/>
        <w:wordWrap/>
        <w:overflowPunct/>
        <w:topLinePunct w:val="0"/>
        <w:autoSpaceDE/>
        <w:autoSpaceDN/>
        <w:bidi w:val="0"/>
        <w:adjustRightInd/>
        <w:snapToGrid/>
        <w:spacing w:line="560" w:lineRule="exact"/>
        <w:ind w:left="278" w:leftChars="87"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(16)负责规划和指导山区林业综合开发，配合有关部门做好退耕还林、水土保持、农村能源开发、林业扶贫等组织指导工作。</w:t>
      </w:r>
    </w:p>
    <w:p w14:paraId="1726F525">
      <w:pPr>
        <w:keepNext w:val="0"/>
        <w:keepLines w:val="0"/>
        <w:pageBreakBefore w:val="0"/>
        <w:widowControl w:val="0"/>
        <w:kinsoku/>
        <w:wordWrap/>
        <w:overflowPunct/>
        <w:topLinePunct w:val="0"/>
        <w:autoSpaceDE/>
        <w:autoSpaceDN/>
        <w:bidi w:val="0"/>
        <w:adjustRightInd/>
        <w:snapToGrid/>
        <w:spacing w:line="560" w:lineRule="exact"/>
        <w:ind w:left="278" w:leftChars="87"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(17)承担县政府公布的有关行政审批事项。</w:t>
      </w:r>
    </w:p>
    <w:p w14:paraId="74C4AF2E">
      <w:pPr>
        <w:keepNext w:val="0"/>
        <w:keepLines w:val="0"/>
        <w:pageBreakBefore w:val="0"/>
        <w:widowControl w:val="0"/>
        <w:kinsoku/>
        <w:wordWrap/>
        <w:overflowPunct/>
        <w:topLinePunct w:val="0"/>
        <w:autoSpaceDE/>
        <w:autoSpaceDN/>
        <w:bidi w:val="0"/>
        <w:adjustRightInd/>
        <w:snapToGrid/>
        <w:spacing w:line="560" w:lineRule="exact"/>
        <w:ind w:left="278" w:leftChars="87" w:firstLine="640" w:firstLineChars="200"/>
        <w:textAlignment w:val="auto"/>
        <w:rPr>
          <w:rFonts w:hint="eastAsia" w:ascii="仿宋_GB2312" w:hAnsi="仿宋_GB2312" w:eastAsia="仿宋_GB2312" w:cs="仿宋_GB2312"/>
          <w:color w:val="auto"/>
          <w:sz w:val="32"/>
          <w:szCs w:val="32"/>
          <w:lang w:val="zh-CN" w:eastAsia="zh-CN"/>
        </w:rPr>
      </w:pPr>
      <w:r>
        <w:rPr>
          <w:rFonts w:hint="eastAsia" w:ascii="仿宋_GB2312" w:hAnsi="仿宋_GB2312" w:eastAsia="仿宋_GB2312" w:cs="仿宋_GB2312"/>
          <w:color w:val="auto"/>
          <w:sz w:val="32"/>
          <w:szCs w:val="32"/>
          <w:lang w:val="en-US" w:eastAsia="zh-CN"/>
        </w:rPr>
        <w:t>(18)承办县委、县政府和上级主管部门交办的其他事项。</w:t>
      </w:r>
    </w:p>
    <w:p w14:paraId="37EA98D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（三）人员概况。</w:t>
      </w:r>
    </w:p>
    <w:p w14:paraId="376A4D0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2024年</w:t>
      </w:r>
      <w:r>
        <w:rPr>
          <w:rFonts w:hint="eastAsia" w:ascii="仿宋_GB2312" w:hAnsi="仿宋_GB2312" w:cs="仿宋_GB2312"/>
          <w:color w:val="auto"/>
          <w:sz w:val="32"/>
          <w:szCs w:val="32"/>
          <w:lang w:val="en-US" w:eastAsia="zh-CN"/>
        </w:rPr>
        <w:t>末</w:t>
      </w:r>
      <w:r>
        <w:rPr>
          <w:rFonts w:hint="eastAsia" w:ascii="仿宋_GB2312" w:hAnsi="仿宋_GB2312" w:eastAsia="仿宋_GB2312" w:cs="仿宋_GB2312"/>
          <w:color w:val="auto"/>
          <w:sz w:val="32"/>
          <w:szCs w:val="32"/>
          <w:lang w:val="en-US" w:eastAsia="zh-CN"/>
        </w:rPr>
        <w:t>林草局编制数共计110人。行政编9人，行政工勤编3人，参公编14人；事业编84人。</w:t>
      </w:r>
    </w:p>
    <w:p w14:paraId="42AD437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2024年未林草局实有人数人员共计110人。行政20人，其中机关工勤3人，参公工勤1人，公务员7人，参公干部9人。事业90人，</w:t>
      </w:r>
      <w:r>
        <w:rPr>
          <w:rFonts w:hint="eastAsia" w:ascii="仿宋_GB2312" w:hAnsi="仿宋_GB2312" w:cs="仿宋_GB2312"/>
          <w:color w:val="auto"/>
          <w:sz w:val="32"/>
          <w:szCs w:val="32"/>
          <w:lang w:val="en-US" w:eastAsia="zh-CN"/>
        </w:rPr>
        <w:t>其中</w:t>
      </w:r>
      <w:r>
        <w:rPr>
          <w:rFonts w:hint="eastAsia" w:ascii="仿宋_GB2312" w:hAnsi="仿宋_GB2312" w:eastAsia="仿宋_GB2312" w:cs="仿宋_GB2312"/>
          <w:color w:val="auto"/>
          <w:sz w:val="32"/>
          <w:szCs w:val="32"/>
          <w:lang w:val="en-US" w:eastAsia="zh-CN"/>
        </w:rPr>
        <w:t>技术工人5人，专业技术人员85人。</w:t>
      </w:r>
    </w:p>
    <w:p w14:paraId="19D1E3F8">
      <w:pPr>
        <w:keepNext w:val="0"/>
        <w:keepLines w:val="0"/>
        <w:pageBreakBefore w:val="0"/>
        <w:widowControl/>
        <w:kinsoku/>
        <w:wordWrap/>
        <w:overflowPunct/>
        <w:topLinePunct w:val="0"/>
        <w:autoSpaceDE/>
        <w:autoSpaceDN/>
        <w:bidi w:val="0"/>
        <w:adjustRightInd w:val="0"/>
        <w:snapToGrid/>
        <w:spacing w:line="560"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rPr>
      </w:pPr>
      <w:r>
        <w:rPr>
          <w:rFonts w:hint="default" w:ascii="Times New Roman" w:hAnsi="Times New Roman" w:eastAsia="黑体" w:cs="Times New Roman"/>
          <w:color w:val="000000"/>
          <w:kern w:val="0"/>
          <w:sz w:val="32"/>
          <w:szCs w:val="32"/>
          <w:highlight w:val="none"/>
          <w:shd w:val="clear" w:color="auto" w:fill="FFFFFF"/>
        </w:rPr>
        <w:t>二、</w:t>
      </w:r>
      <w:r>
        <w:rPr>
          <w:rFonts w:hint="default" w:ascii="Times New Roman" w:hAnsi="Times New Roman" w:eastAsia="黑体" w:cs="Times New Roman"/>
          <w:color w:val="000000"/>
          <w:kern w:val="0"/>
          <w:sz w:val="32"/>
          <w:szCs w:val="32"/>
          <w:highlight w:val="none"/>
          <w:shd w:val="clear" w:color="auto" w:fill="FFFFFF"/>
          <w:lang w:eastAsia="zh-CN"/>
        </w:rPr>
        <w:t>部门</w:t>
      </w:r>
      <w:r>
        <w:rPr>
          <w:rFonts w:hint="default" w:ascii="Times New Roman" w:hAnsi="Times New Roman" w:eastAsia="黑体" w:cs="Times New Roman"/>
          <w:color w:val="000000"/>
          <w:kern w:val="0"/>
          <w:sz w:val="32"/>
          <w:szCs w:val="32"/>
          <w:highlight w:val="none"/>
          <w:shd w:val="clear" w:color="auto" w:fill="FFFFFF"/>
        </w:rPr>
        <w:t>资金收支情况</w:t>
      </w:r>
    </w:p>
    <w:p w14:paraId="1882EA8C">
      <w:pPr>
        <w:pStyle w:val="4"/>
        <w:keepNext w:val="0"/>
        <w:keepLines w:val="0"/>
        <w:pageBreakBefore w:val="0"/>
        <w:kinsoku/>
        <w:wordWrap/>
        <w:overflowPunct/>
        <w:topLinePunct w:val="0"/>
        <w:autoSpaceDE/>
        <w:autoSpaceDN/>
        <w:bidi w:val="0"/>
        <w:snapToGrid/>
        <w:spacing w:after="0" w:line="560"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2024年财政拨款收入6638.29万元、支出6638.29万元。 其中：农林水支出4835.79万元；节能环保支出900.28万元；卫生健康支出150.82万元；社会保障和就业支出351.79万元；文化旅游体育与传媒支出218.50万元；住房保障支出180.57万元。</w:t>
      </w:r>
    </w:p>
    <w:p w14:paraId="7E33E6B8">
      <w:pPr>
        <w:keepNext w:val="0"/>
        <w:keepLines w:val="0"/>
        <w:pageBreakBefore w:val="0"/>
        <w:widowControl/>
        <w:kinsoku/>
        <w:wordWrap/>
        <w:overflowPunct/>
        <w:topLinePunct w:val="0"/>
        <w:autoSpaceDE/>
        <w:autoSpaceDN/>
        <w:bidi w:val="0"/>
        <w:adjustRightInd w:val="0"/>
        <w:snapToGrid/>
        <w:spacing w:line="560"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（一）收入情况。</w:t>
      </w:r>
    </w:p>
    <w:p w14:paraId="2B6C09D0">
      <w:pPr>
        <w:keepNext w:val="0"/>
        <w:keepLines w:val="0"/>
        <w:pageBreakBefore w:val="0"/>
        <w:widowControl/>
        <w:kinsoku/>
        <w:wordWrap/>
        <w:overflowPunct/>
        <w:topLinePunct w:val="0"/>
        <w:autoSpaceDE/>
        <w:autoSpaceDN/>
        <w:bidi w:val="0"/>
        <w:adjustRightInd w:val="0"/>
        <w:snapToGrid/>
        <w:spacing w:line="560" w:lineRule="exact"/>
        <w:ind w:firstLine="640"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en-US"/>
        </w:rPr>
      </w:pPr>
      <w:r>
        <w:rPr>
          <w:rFonts w:hint="eastAsia" w:ascii="仿宋_GB2312" w:hAnsi="仿宋_GB2312" w:eastAsia="仿宋_GB2312" w:cs="仿宋_GB2312"/>
          <w:sz w:val="32"/>
          <w:szCs w:val="32"/>
          <w:lang w:val="en-US" w:eastAsia="zh-CN"/>
        </w:rPr>
        <w:t>黑水县林草局部门2024年年初预算收入2995.60万元、决算报表收入6638.29万元，预算与决算差异为3642.69万元，差异率为54.87%。</w:t>
      </w:r>
    </w:p>
    <w:p w14:paraId="747A730A">
      <w:pPr>
        <w:keepNext w:val="0"/>
        <w:keepLines w:val="0"/>
        <w:pageBreakBefore w:val="0"/>
        <w:widowControl/>
        <w:numPr>
          <w:ilvl w:val="0"/>
          <w:numId w:val="1"/>
        </w:numPr>
        <w:kinsoku/>
        <w:wordWrap/>
        <w:overflowPunct/>
        <w:topLinePunct w:val="0"/>
        <w:autoSpaceDE/>
        <w:autoSpaceDN/>
        <w:bidi w:val="0"/>
        <w:adjustRightInd w:val="0"/>
        <w:snapToGrid/>
        <w:spacing w:line="560"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支出情况。</w:t>
      </w:r>
    </w:p>
    <w:p w14:paraId="0BA2790E">
      <w:pPr>
        <w:keepNext w:val="0"/>
        <w:keepLines w:val="0"/>
        <w:pageBreakBefore w:val="0"/>
        <w:widowControl/>
        <w:numPr>
          <w:ilvl w:val="0"/>
          <w:numId w:val="0"/>
        </w:numPr>
        <w:kinsoku/>
        <w:wordWrap/>
        <w:overflowPunct/>
        <w:topLinePunct w:val="0"/>
        <w:autoSpaceDE/>
        <w:autoSpaceDN/>
        <w:bidi w:val="0"/>
        <w:adjustRightInd w:val="0"/>
        <w:snapToGrid/>
        <w:spacing w:line="560" w:lineRule="exact"/>
        <w:ind w:firstLine="640" w:firstLineChars="200"/>
        <w:contextualSpacing/>
        <w:jc w:val="left"/>
        <w:textAlignment w:val="auto"/>
        <w:outlineLvl w:val="9"/>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en-US" w:eastAsia="zh-CN"/>
        </w:rPr>
        <w:t>黑水县林草局部门2024年年初预算收入2995.60万元、决算报表收入6638.29万元，预算与决算差异为3642.69万元，差异率为54.87%。</w:t>
      </w:r>
    </w:p>
    <w:p w14:paraId="78EAD1D7">
      <w:pPr>
        <w:keepNext w:val="0"/>
        <w:keepLines w:val="0"/>
        <w:pageBreakBefore w:val="0"/>
        <w:widowControl/>
        <w:numPr>
          <w:ilvl w:val="0"/>
          <w:numId w:val="1"/>
        </w:numPr>
        <w:kinsoku/>
        <w:wordWrap/>
        <w:overflowPunct/>
        <w:topLinePunct w:val="0"/>
        <w:autoSpaceDE/>
        <w:autoSpaceDN/>
        <w:bidi w:val="0"/>
        <w:adjustRightInd w:val="0"/>
        <w:snapToGrid/>
        <w:spacing w:line="560" w:lineRule="exact"/>
        <w:ind w:left="0" w:leftChars="0" w:firstLine="643" w:firstLineChars="200"/>
        <w:contextualSpacing/>
        <w:jc w:val="left"/>
        <w:textAlignment w:val="auto"/>
        <w:outlineLvl w:val="9"/>
        <w:rPr>
          <w:rFonts w:hint="default" w:ascii="Times New Roman" w:hAnsi="Times New Roman" w:eastAsia="楷体_GB2312" w:cs="Times New Roman"/>
          <w:b/>
          <w:sz w:val="32"/>
          <w:szCs w:val="32"/>
          <w:lang w:eastAsia="zh-CN"/>
        </w:rPr>
      </w:pPr>
      <w:r>
        <w:rPr>
          <w:rFonts w:hint="default" w:ascii="Times New Roman" w:hAnsi="Times New Roman" w:eastAsia="楷体_GB2312" w:cs="Times New Roman"/>
          <w:b/>
          <w:sz w:val="32"/>
          <w:szCs w:val="32"/>
        </w:rPr>
        <w:t>结余分配和结转结余情况</w:t>
      </w:r>
      <w:r>
        <w:rPr>
          <w:rFonts w:hint="default" w:ascii="Times New Roman" w:hAnsi="Times New Roman" w:eastAsia="楷体_GB2312" w:cs="Times New Roman"/>
          <w:b/>
          <w:sz w:val="32"/>
          <w:szCs w:val="32"/>
          <w:lang w:eastAsia="zh-CN"/>
        </w:rPr>
        <w:t>。</w:t>
      </w:r>
    </w:p>
    <w:p w14:paraId="5D0C4019">
      <w:pPr>
        <w:keepNext w:val="0"/>
        <w:keepLines w:val="0"/>
        <w:pageBreakBefore w:val="0"/>
        <w:widowControl/>
        <w:numPr>
          <w:ilvl w:val="0"/>
          <w:numId w:val="0"/>
        </w:numPr>
        <w:kinsoku/>
        <w:wordWrap/>
        <w:overflowPunct/>
        <w:topLinePunct w:val="0"/>
        <w:autoSpaceDE/>
        <w:autoSpaceDN/>
        <w:bidi w:val="0"/>
        <w:adjustRightInd w:val="0"/>
        <w:snapToGrid/>
        <w:spacing w:line="560" w:lineRule="exact"/>
        <w:ind w:firstLine="640" w:firstLineChars="200"/>
        <w:contextualSpacing/>
        <w:jc w:val="left"/>
        <w:textAlignment w:val="auto"/>
        <w:outlineLvl w:val="9"/>
        <w:rPr>
          <w:rFonts w:hint="eastAsia" w:ascii="仿宋_GB2312" w:hAnsi="仿宋_GB2312" w:eastAsia="仿宋_GB2312" w:cs="仿宋_GB2312"/>
          <w:b w:val="0"/>
          <w:bCs w:val="0"/>
          <w:color w:val="000000"/>
          <w:kern w:val="0"/>
          <w:sz w:val="32"/>
          <w:szCs w:val="32"/>
          <w:highlight w:val="none"/>
          <w:shd w:val="clear" w:color="auto" w:fill="FFFFFF"/>
          <w:lang w:val="zh-CN" w:eastAsia="zh-CN"/>
        </w:rPr>
      </w:pPr>
      <w:r>
        <w:rPr>
          <w:rFonts w:hint="eastAsia" w:ascii="仿宋_GB2312" w:hAnsi="仿宋_GB2312" w:eastAsia="仿宋_GB2312" w:cs="仿宋_GB2312"/>
          <w:sz w:val="32"/>
          <w:szCs w:val="32"/>
          <w:lang w:val="en-US" w:eastAsia="zh-CN"/>
        </w:rPr>
        <w:t>黑水县林草局部门（单位）2024年决算报表</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结转结余为0万元。</w:t>
      </w:r>
    </w:p>
    <w:p w14:paraId="3D3EADC2">
      <w:pPr>
        <w:keepNext w:val="0"/>
        <w:keepLines w:val="0"/>
        <w:pageBreakBefore w:val="0"/>
        <w:widowControl/>
        <w:kinsoku/>
        <w:wordWrap/>
        <w:overflowPunct/>
        <w:topLinePunct w:val="0"/>
        <w:autoSpaceDE/>
        <w:autoSpaceDN/>
        <w:bidi w:val="0"/>
        <w:adjustRightInd w:val="0"/>
        <w:snapToGrid/>
        <w:spacing w:line="560" w:lineRule="exact"/>
        <w:ind w:firstLine="640" w:firstLineChars="200"/>
        <w:contextualSpacing/>
        <w:jc w:val="left"/>
        <w:textAlignment w:val="auto"/>
        <w:outlineLvl w:val="9"/>
        <w:rPr>
          <w:rFonts w:hint="default" w:ascii="Times New Roman" w:hAnsi="Times New Roman" w:eastAsia="黑体" w:cs="Times New Roman"/>
          <w:color w:val="auto"/>
          <w:kern w:val="0"/>
          <w:sz w:val="32"/>
          <w:szCs w:val="32"/>
          <w:highlight w:val="none"/>
          <w:shd w:val="clear" w:color="auto" w:fill="FFFFFF"/>
        </w:rPr>
      </w:pPr>
      <w:r>
        <w:rPr>
          <w:rFonts w:hint="default" w:ascii="Times New Roman" w:hAnsi="Times New Roman" w:eastAsia="黑体" w:cs="Times New Roman"/>
          <w:color w:val="auto"/>
          <w:kern w:val="0"/>
          <w:sz w:val="32"/>
          <w:szCs w:val="32"/>
          <w:highlight w:val="none"/>
          <w:shd w:val="clear" w:color="auto" w:fill="FFFFFF"/>
        </w:rPr>
        <w:t>三、</w:t>
      </w:r>
      <w:r>
        <w:rPr>
          <w:rFonts w:hint="default" w:ascii="Times New Roman" w:hAnsi="Times New Roman" w:eastAsia="黑体" w:cs="Times New Roman"/>
          <w:color w:val="auto"/>
          <w:kern w:val="0"/>
          <w:sz w:val="32"/>
          <w:szCs w:val="32"/>
          <w:highlight w:val="none"/>
          <w:u w:val="none"/>
          <w:shd w:val="clear" w:color="auto" w:fill="FFFFFF"/>
        </w:rPr>
        <w:t>部门</w:t>
      </w:r>
      <w:r>
        <w:rPr>
          <w:rFonts w:hint="default" w:ascii="Times New Roman" w:hAnsi="Times New Roman" w:eastAsia="黑体" w:cs="Times New Roman"/>
          <w:color w:val="auto"/>
          <w:kern w:val="0"/>
          <w:sz w:val="32"/>
          <w:szCs w:val="32"/>
          <w:highlight w:val="none"/>
          <w:u w:val="none"/>
          <w:shd w:val="clear" w:color="auto" w:fill="FFFFFF"/>
          <w:lang w:eastAsia="zh-CN"/>
        </w:rPr>
        <w:t>预算</w:t>
      </w:r>
      <w:r>
        <w:rPr>
          <w:rFonts w:hint="default" w:ascii="Times New Roman" w:hAnsi="Times New Roman" w:eastAsia="黑体" w:cs="Times New Roman"/>
          <w:color w:val="auto"/>
          <w:kern w:val="0"/>
          <w:sz w:val="32"/>
          <w:szCs w:val="32"/>
          <w:highlight w:val="none"/>
          <w:u w:val="none"/>
          <w:shd w:val="clear" w:color="auto" w:fill="FFFFFF"/>
        </w:rPr>
        <w:t>绩效</w:t>
      </w:r>
      <w:r>
        <w:rPr>
          <w:rFonts w:hint="default" w:ascii="Times New Roman" w:hAnsi="Times New Roman" w:eastAsia="黑体" w:cs="Times New Roman"/>
          <w:color w:val="auto"/>
          <w:kern w:val="0"/>
          <w:sz w:val="32"/>
          <w:szCs w:val="32"/>
          <w:highlight w:val="none"/>
          <w:u w:val="none"/>
          <w:shd w:val="clear" w:color="auto" w:fill="FFFFFF"/>
          <w:lang w:eastAsia="zh-CN"/>
        </w:rPr>
        <w:t>分析</w:t>
      </w:r>
    </w:p>
    <w:p w14:paraId="4CFD1949">
      <w:pPr>
        <w:keepNext w:val="0"/>
        <w:keepLines w:val="0"/>
        <w:pageBreakBefore w:val="0"/>
        <w:widowControl/>
        <w:numPr>
          <w:ilvl w:val="0"/>
          <w:numId w:val="0"/>
        </w:numPr>
        <w:kinsoku/>
        <w:wordWrap/>
        <w:overflowPunct/>
        <w:topLinePunct w:val="0"/>
        <w:autoSpaceDE/>
        <w:autoSpaceDN/>
        <w:bidi w:val="0"/>
        <w:adjustRightInd w:val="0"/>
        <w:snapToGrid/>
        <w:spacing w:line="560" w:lineRule="exact"/>
        <w:ind w:firstLine="643" w:firstLineChars="200"/>
        <w:contextualSpacing/>
        <w:jc w:val="left"/>
        <w:textAlignment w:val="auto"/>
        <w:outlineLvl w:val="9"/>
        <w:rPr>
          <w:rFonts w:hint="default" w:ascii="Times New Roman" w:hAnsi="Times New Roman" w:eastAsia="楷体_GB2312" w:cs="Times New Roman"/>
          <w:b/>
          <w:bCs/>
          <w:color w:val="auto"/>
          <w:kern w:val="0"/>
          <w:sz w:val="32"/>
          <w:szCs w:val="32"/>
          <w:highlight w:val="none"/>
          <w:shd w:val="clear" w:color="auto" w:fill="FFFFFF"/>
          <w:lang w:val="zh-CN"/>
        </w:rPr>
      </w:pPr>
      <w:r>
        <w:rPr>
          <w:rFonts w:hint="default" w:ascii="Times New Roman" w:hAnsi="Times New Roman" w:eastAsia="楷体_GB2312" w:cs="Times New Roman"/>
          <w:b/>
          <w:bCs/>
          <w:color w:val="auto"/>
          <w:kern w:val="0"/>
          <w:sz w:val="32"/>
          <w:szCs w:val="32"/>
          <w:highlight w:val="none"/>
          <w:shd w:val="clear" w:color="auto" w:fill="FFFFFF"/>
          <w:lang w:val="zh-CN"/>
        </w:rPr>
        <w:t>（一）部门预算总体绩效分析。</w:t>
      </w:r>
    </w:p>
    <w:p w14:paraId="7129D237">
      <w:pPr>
        <w:keepNext w:val="0"/>
        <w:keepLines w:val="0"/>
        <w:pageBreakBefore w:val="0"/>
        <w:widowControl/>
        <w:numPr>
          <w:ilvl w:val="0"/>
          <w:numId w:val="0"/>
        </w:numPr>
        <w:kinsoku/>
        <w:wordWrap/>
        <w:overflowPunct/>
        <w:topLinePunct w:val="0"/>
        <w:autoSpaceDE/>
        <w:autoSpaceDN/>
        <w:bidi w:val="0"/>
        <w:adjustRightInd w:val="0"/>
        <w:snapToGrid/>
        <w:spacing w:line="560" w:lineRule="exact"/>
        <w:ind w:firstLine="640" w:firstLineChars="200"/>
        <w:contextualSpacing/>
        <w:jc w:val="left"/>
        <w:textAlignment w:val="auto"/>
        <w:outlineLvl w:val="9"/>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en-US" w:eastAsia="zh-CN"/>
        </w:rPr>
        <w:t>预算支出在保障本单位工作运转、履行职能职责上整体情况良好。具体有：1、2024年度支出绩效较好，预算编制比较精确、合理; 2、为认真落实中央八项规定等厉行节约，反对浪费规定要求，压缩了部分培训费及一般性支出; 3、动态优化了年度预算安排，保障了在经费压缩情况下的高效</w:t>
      </w:r>
      <w:r>
        <w:rPr>
          <w:rFonts w:hint="eastAsia" w:ascii="仿宋_GB2312" w:hAnsi="仿宋_GB2312" w:cs="仿宋_GB2312"/>
          <w:sz w:val="32"/>
          <w:szCs w:val="32"/>
          <w:lang w:val="en-US" w:eastAsia="zh-CN"/>
        </w:rPr>
        <w:t>运</w:t>
      </w:r>
      <w:r>
        <w:rPr>
          <w:rFonts w:hint="eastAsia" w:ascii="仿宋_GB2312" w:hAnsi="仿宋_GB2312" w:eastAsia="仿宋_GB2312" w:cs="仿宋_GB2312"/>
          <w:sz w:val="32"/>
          <w:szCs w:val="32"/>
          <w:lang w:val="en-US" w:eastAsia="zh-CN"/>
        </w:rPr>
        <w:t>转; 4、各项目经费的支出有力保障了办公设备购置等项目所需，推动了改革和各类便民措施的实行; 5、提高了管理工作的化、信息化水平; 6、强化机关公用经费及日常运行经费管理，对于各科室日常公用经费按照相关政策进行管理，对于办公日常运行维护费用加强审核力度，公用经费及水、电等日常运行经费均有一定下降。</w:t>
      </w:r>
    </w:p>
    <w:p w14:paraId="678EDE2C">
      <w:pPr>
        <w:keepNext w:val="0"/>
        <w:keepLines w:val="0"/>
        <w:pageBreakBefore w:val="0"/>
        <w:widowControl w:val="0"/>
        <w:numPr>
          <w:ilvl w:val="0"/>
          <w:numId w:val="0"/>
        </w:numPr>
        <w:kinsoku/>
        <w:wordWrap/>
        <w:overflowPunct/>
        <w:topLinePunct w:val="0"/>
        <w:autoSpaceDE/>
        <w:autoSpaceDN/>
        <w:bidi w:val="0"/>
        <w:adjustRightInd w:val="0"/>
        <w:snapToGrid/>
        <w:spacing w:line="560" w:lineRule="exact"/>
        <w:ind w:firstLine="643" w:firstLineChars="200"/>
        <w:contextualSpacing/>
        <w:jc w:val="left"/>
        <w:textAlignment w:val="auto"/>
        <w:outlineLvl w:val="9"/>
        <w:rPr>
          <w:rFonts w:hint="eastAsia" w:ascii="楷体_GB2312" w:hAnsi="楷体_GB2312" w:eastAsia="楷体_GB2312" w:cs="楷体_GB2312"/>
          <w:b/>
          <w:bCs/>
          <w:color w:val="auto"/>
          <w:kern w:val="0"/>
          <w:sz w:val="32"/>
          <w:szCs w:val="32"/>
          <w:highlight w:val="none"/>
          <w:shd w:val="clear" w:color="auto" w:fill="FFFFFF"/>
          <w:lang w:val="zh-CN"/>
        </w:rPr>
      </w:pPr>
      <w:r>
        <w:rPr>
          <w:rFonts w:hint="eastAsia" w:ascii="楷体_GB2312" w:hAnsi="楷体_GB2312" w:eastAsia="楷体_GB2312" w:cs="楷体_GB2312"/>
          <w:b/>
          <w:bCs/>
          <w:color w:val="auto"/>
          <w:kern w:val="0"/>
          <w:sz w:val="32"/>
          <w:szCs w:val="32"/>
          <w:highlight w:val="none"/>
          <w:shd w:val="clear" w:color="auto" w:fill="FFFFFF"/>
          <w:lang w:val="en-US" w:eastAsia="zh-CN"/>
        </w:rPr>
        <w:t>1.</w:t>
      </w:r>
      <w:r>
        <w:rPr>
          <w:rFonts w:hint="eastAsia" w:ascii="楷体_GB2312" w:hAnsi="楷体_GB2312" w:eastAsia="楷体_GB2312" w:cs="楷体_GB2312"/>
          <w:b/>
          <w:bCs/>
          <w:color w:val="auto"/>
          <w:kern w:val="0"/>
          <w:sz w:val="32"/>
          <w:szCs w:val="32"/>
          <w:highlight w:val="none"/>
          <w:shd w:val="clear" w:color="auto" w:fill="FFFFFF"/>
          <w:lang w:val="zh-CN"/>
        </w:rPr>
        <w:t>履职效能。</w:t>
      </w:r>
    </w:p>
    <w:p w14:paraId="707A2A82">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ascii="仿宋_GB2312" w:hAnsi="仿宋_GB2312" w:eastAsia="仿宋_GB2312" w:cs="仿宋_GB2312"/>
          <w:b/>
          <w:bCs w:val="0"/>
          <w:color w:val="auto"/>
          <w:sz w:val="32"/>
          <w:szCs w:val="32"/>
          <w:lang w:val="en-US" w:eastAsia="zh-CN"/>
        </w:rPr>
      </w:pPr>
      <w:r>
        <w:rPr>
          <w:rFonts w:hint="eastAsia" w:ascii="仿宋_GB2312" w:hAnsi="仿宋_GB2312" w:eastAsia="仿宋_GB2312" w:cs="仿宋_GB2312"/>
          <w:b/>
          <w:bCs w:val="0"/>
          <w:color w:val="auto"/>
          <w:kern w:val="0"/>
          <w:sz w:val="32"/>
          <w:szCs w:val="32"/>
          <w:lang w:val="en-US" w:eastAsia="zh-CN"/>
        </w:rPr>
        <w:t>（一）造林绿化和产业发展</w:t>
      </w:r>
    </w:p>
    <w:p w14:paraId="4649EA20">
      <w:pPr>
        <w:pStyle w:val="4"/>
        <w:keepNext w:val="0"/>
        <w:keepLines w:val="0"/>
        <w:pageBreakBefore w:val="0"/>
        <w:widowControl w:val="0"/>
        <w:kinsoku/>
        <w:wordWrap/>
        <w:overflowPunct/>
        <w:topLinePunct w:val="0"/>
        <w:autoSpaceDE/>
        <w:autoSpaceDN/>
        <w:bidi w:val="0"/>
        <w:adjustRightInd/>
        <w:snapToGrid/>
        <w:spacing w:after="0" w:line="560" w:lineRule="exact"/>
        <w:ind w:right="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sz w:val="32"/>
          <w:szCs w:val="32"/>
          <w:lang w:val="en-US" w:eastAsia="zh-CN"/>
        </w:rPr>
        <w:t>科学绿化为主线，深入挖掘造林用地潜力，推动国土绿化科学化、精细化发展。</w:t>
      </w:r>
      <w:r>
        <w:rPr>
          <w:rFonts w:hint="eastAsia" w:ascii="仿宋_GB2312" w:hAnsi="仿宋_GB2312" w:eastAsia="仿宋_GB2312" w:cs="仿宋_GB2312"/>
          <w:b/>
          <w:bCs/>
          <w:sz w:val="32"/>
          <w:szCs w:val="32"/>
          <w:lang w:val="en-US" w:eastAsia="zh-CN"/>
        </w:rPr>
        <w:t>一是扎实推进造林工作。</w:t>
      </w:r>
      <w:r>
        <w:rPr>
          <w:rFonts w:hint="eastAsia" w:ascii="仿宋_GB2312" w:hAnsi="仿宋_GB2312" w:eastAsia="仿宋_GB2312" w:cs="仿宋_GB2312"/>
          <w:sz w:val="32"/>
          <w:szCs w:val="32"/>
          <w:lang w:val="en-US" w:eastAsia="zh-CN"/>
        </w:rPr>
        <w:t>2024年我县营造林任务总面积21000亩，目前已完成营造林面积21000亩，其中：人工造林1000亩，森林抚育20000亩，任务完成率100%。下达我县退化林修复任务3000亩，</w:t>
      </w:r>
      <w:r>
        <w:rPr>
          <w:rFonts w:hint="eastAsia" w:ascii="仿宋_GB2312" w:hAnsi="仿宋_GB2312" w:eastAsia="仿宋_GB2312" w:cs="仿宋_GB2312"/>
          <w:color w:val="auto"/>
          <w:sz w:val="32"/>
          <w:szCs w:val="32"/>
          <w:lang w:val="en-US" w:eastAsia="zh-CN"/>
        </w:rPr>
        <w:t>目前正在进行政府采购工作。</w:t>
      </w:r>
      <w:r>
        <w:rPr>
          <w:rFonts w:hint="eastAsia" w:ascii="仿宋_GB2312" w:hAnsi="仿宋_GB2312" w:eastAsia="仿宋_GB2312" w:cs="仿宋_GB2312"/>
          <w:b/>
          <w:bCs/>
          <w:color w:val="auto"/>
          <w:sz w:val="32"/>
          <w:szCs w:val="32"/>
          <w:lang w:val="en-US" w:eastAsia="zh-CN"/>
        </w:rPr>
        <w:t>二</w:t>
      </w:r>
      <w:r>
        <w:rPr>
          <w:rFonts w:hint="eastAsia" w:ascii="仿宋_GB2312" w:hAnsi="仿宋_GB2312" w:eastAsia="仿宋_GB2312" w:cs="仿宋_GB2312"/>
          <w:b/>
          <w:bCs/>
          <w:sz w:val="32"/>
          <w:szCs w:val="32"/>
          <w:lang w:val="en-US" w:eastAsia="zh-CN"/>
        </w:rPr>
        <w:t>是充分发挥植树造林作用。</w:t>
      </w:r>
      <w:r>
        <w:rPr>
          <w:rFonts w:hint="eastAsia" w:ascii="仿宋_GB2312" w:hAnsi="仿宋_GB2312" w:eastAsia="仿宋_GB2312" w:cs="仿宋_GB2312"/>
          <w:sz w:val="32"/>
          <w:szCs w:val="32"/>
          <w:lang w:val="en-US" w:eastAsia="zh-CN"/>
        </w:rPr>
        <w:t>2024年在芦花镇英博村及各个乡镇组织开展全县义务植树工作，全县累计参加义务植树 3.02万余人，全县应尽责人数3.1万人，尽责率97 %，栽植油松等苗木26.5万余株。完成村庄绿化30亩，栽植树种为油松，涉及芦花镇英博村，西尔镇俄恩村，卡龙镇才盖村，晴朗乡二牛奶村等。</w:t>
      </w:r>
      <w:r>
        <w:rPr>
          <w:rFonts w:hint="eastAsia" w:ascii="仿宋_GB2312" w:hAnsi="仿宋_GB2312" w:eastAsia="仿宋_GB2312" w:cs="仿宋_GB2312"/>
          <w:b/>
          <w:bCs/>
          <w:sz w:val="32"/>
          <w:szCs w:val="32"/>
          <w:lang w:val="en-US" w:eastAsia="zh-CN"/>
        </w:rPr>
        <w:t>三是扎实开展造林补植工作。</w:t>
      </w:r>
      <w:r>
        <w:rPr>
          <w:rFonts w:hint="eastAsia" w:ascii="仿宋_GB2312" w:hAnsi="仿宋_GB2312" w:eastAsia="仿宋_GB2312" w:cs="仿宋_GB2312"/>
          <w:sz w:val="32"/>
          <w:szCs w:val="32"/>
          <w:lang w:val="en-US" w:eastAsia="zh-CN"/>
        </w:rPr>
        <w:t>2024年春季，我局抓住造林季节，积极督促施工单位开展造林项目补植工作。其中：黑水县2021年省级林业草原改革发展专项资金干旱河谷生态综合</w:t>
      </w:r>
      <w:r>
        <w:rPr>
          <w:rFonts w:hint="eastAsia" w:ascii="仿宋_GB2312" w:hAnsi="仿宋_GB2312" w:cs="仿宋_GB2312"/>
          <w:sz w:val="32"/>
          <w:szCs w:val="32"/>
          <w:lang w:val="en-US" w:eastAsia="zh-CN"/>
        </w:rPr>
        <w:t>环境</w:t>
      </w:r>
      <w:r>
        <w:rPr>
          <w:rFonts w:hint="eastAsia" w:ascii="仿宋_GB2312" w:hAnsi="仿宋_GB2312" w:eastAsia="仿宋_GB2312" w:cs="仿宋_GB2312"/>
          <w:sz w:val="32"/>
          <w:szCs w:val="32"/>
          <w:lang w:val="en-US" w:eastAsia="zh-CN"/>
        </w:rPr>
        <w:t>治理项目补植岷江柏1万株，面积300亩；黑水县2021年度生物防火隔离带建设项目已完成香花槐补植1万株；阿坝州黑水县2021年横断山区水源涵养与生物多样性保护项目退化林修复补植云杉2万株；黑水县2022年省级林业草原改革发展专项资金（第二批）造林绿化补助（人工造林）项目补植云杉2万株；阿坝州黑水县2023年造林绿化补助（人工造林）项目补植云杉1万株。</w:t>
      </w:r>
      <w:r>
        <w:rPr>
          <w:rFonts w:hint="eastAsia" w:ascii="仿宋_GB2312" w:hAnsi="仿宋_GB2312" w:eastAsia="仿宋_GB2312" w:cs="仿宋_GB2312"/>
          <w:b/>
          <w:bCs/>
          <w:sz w:val="32"/>
          <w:szCs w:val="32"/>
          <w:lang w:val="en-US" w:eastAsia="zh-CN"/>
        </w:rPr>
        <w:t>四是全面加强古树名木保护。</w:t>
      </w:r>
      <w:r>
        <w:rPr>
          <w:rFonts w:hint="eastAsia" w:ascii="仿宋_GB2312" w:hAnsi="仿宋_GB2312" w:eastAsia="仿宋_GB2312" w:cs="仿宋_GB2312"/>
          <w:sz w:val="32"/>
          <w:szCs w:val="32"/>
          <w:lang w:val="en-US" w:eastAsia="zh-CN"/>
        </w:rPr>
        <w:t>实施黑水县 2023年省级财政林业草原专项资金预算（第三批）植被恢复费古树名木保护项目，按照“一树一策，精准保护”原则，完成 6株濒危株进行抢救，9株衰弱株进行复壮。安装红外线相机对一级古树名木进行监测，以科技手段提升古树名木的保护水平。开展古树名木保护科普宣传活动，营造了全民参与古树名木保护的良好氛围。</w:t>
      </w:r>
      <w:r>
        <w:rPr>
          <w:rFonts w:hint="eastAsia" w:ascii="仿宋_GB2312" w:hAnsi="仿宋_GB2312" w:eastAsia="仿宋_GB2312" w:cs="仿宋_GB2312"/>
          <w:b/>
          <w:bCs/>
          <w:sz w:val="32"/>
          <w:szCs w:val="32"/>
          <w:lang w:val="en-US" w:eastAsia="zh-CN"/>
        </w:rPr>
        <w:t>五是完成国土绿化实施方案编制。</w:t>
      </w:r>
      <w:r>
        <w:rPr>
          <w:rFonts w:hint="eastAsia" w:ascii="仿宋_GB2312" w:hAnsi="仿宋_GB2312" w:eastAsia="仿宋_GB2312" w:cs="仿宋_GB2312"/>
          <w:sz w:val="32"/>
          <w:szCs w:val="32"/>
          <w:lang w:val="en-US" w:eastAsia="zh-CN"/>
        </w:rPr>
        <w:t>根据省委省政府、国家林草局、四川省林草局关于科学绿化示范省建设工作系列要求，根据州林草局对《阿坝州国土绿化规划（2023-2030年）》编制工作的统一部署，我县已完成方案初稿编制并上报州林草局审核。</w:t>
      </w:r>
      <w:r>
        <w:rPr>
          <w:rFonts w:hint="eastAsia" w:ascii="仿宋_GB2312" w:hAnsi="仿宋_GB2312" w:eastAsia="仿宋_GB2312" w:cs="仿宋_GB2312"/>
          <w:b/>
          <w:bCs/>
          <w:sz w:val="32"/>
          <w:szCs w:val="32"/>
          <w:lang w:val="en-US" w:eastAsia="zh-CN"/>
        </w:rPr>
        <w:t>六是积极推动产业发展。</w:t>
      </w:r>
      <w:r>
        <w:rPr>
          <w:rFonts w:hint="eastAsia" w:ascii="仿宋_GB2312" w:hAnsi="仿宋_GB2312" w:eastAsia="仿宋_GB2312" w:cs="仿宋_GB2312"/>
          <w:sz w:val="32"/>
          <w:szCs w:val="32"/>
          <w:lang w:val="en-US" w:eastAsia="zh-CN"/>
        </w:rPr>
        <w:t>完成黑水县“高原森林粮库”色尔古省级核桃良种基地建设项目核桃良种基地的日常维护工作，开展核桃良种选育的审定工作；完成2023年核桃产业提质增效项目核桃良种化改造管护工作；成功举办2024年四川省生态旅游活动暨黑水县第十二届冰川彩林生态文化旅游季活动开幕式及系列活动。</w:t>
      </w:r>
      <w:r>
        <w:rPr>
          <w:rFonts w:hint="eastAsia" w:ascii="仿宋_GB2312" w:hAnsi="仿宋_GB2312" w:eastAsia="仿宋_GB2312" w:cs="仿宋_GB2312"/>
          <w:color w:val="auto"/>
          <w:kern w:val="2"/>
          <w:sz w:val="32"/>
          <w:szCs w:val="32"/>
          <w:lang w:val="en-US" w:eastAsia="zh-CN" w:bidi="ar-SA"/>
        </w:rPr>
        <w:t>绩效自评得5分。</w:t>
      </w:r>
    </w:p>
    <w:p w14:paraId="78E19807">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ascii="仿宋_GB2312" w:hAnsi="仿宋_GB2312" w:eastAsia="仿宋_GB2312" w:cs="仿宋_GB2312"/>
          <w:b/>
          <w:bCs w:val="0"/>
          <w:color w:val="auto"/>
          <w:kern w:val="0"/>
          <w:sz w:val="32"/>
          <w:szCs w:val="32"/>
          <w:lang w:val="en-US" w:eastAsia="zh-CN"/>
        </w:rPr>
      </w:pPr>
      <w:r>
        <w:rPr>
          <w:rFonts w:hint="eastAsia" w:ascii="仿宋_GB2312" w:hAnsi="仿宋_GB2312" w:eastAsia="仿宋_GB2312" w:cs="仿宋_GB2312"/>
          <w:b/>
          <w:bCs w:val="0"/>
          <w:color w:val="auto"/>
          <w:kern w:val="0"/>
          <w:sz w:val="32"/>
          <w:szCs w:val="32"/>
          <w:lang w:val="en-US" w:eastAsia="zh-CN"/>
        </w:rPr>
        <w:t>（二）森林草原防灭火</w:t>
      </w:r>
    </w:p>
    <w:p w14:paraId="2CD513B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深入贯彻中央、省、州、县关于森林草原防灭火的决策部署，切实履行行业职责，主动作为、积极应对，实现了我县连续36年无重特大森林草原火灾。</w:t>
      </w:r>
      <w:r>
        <w:rPr>
          <w:rFonts w:hint="eastAsia" w:ascii="仿宋_GB2312" w:hAnsi="仿宋_GB2312" w:eastAsia="仿宋_GB2312" w:cs="仿宋_GB2312"/>
          <w:b/>
          <w:bCs/>
          <w:sz w:val="32"/>
          <w:szCs w:val="32"/>
          <w:lang w:val="en-US" w:eastAsia="zh-CN"/>
        </w:rPr>
        <w:t>一是积极营造宣传氛围。</w:t>
      </w:r>
      <w:r>
        <w:rPr>
          <w:rFonts w:hint="eastAsia" w:ascii="仿宋_GB2312" w:hAnsi="仿宋_GB2312" w:eastAsia="仿宋_GB2312" w:cs="仿宋_GB2312"/>
          <w:sz w:val="32"/>
          <w:szCs w:val="32"/>
          <w:lang w:val="en-US" w:eastAsia="zh-CN"/>
        </w:rPr>
        <w:t>通过电信、移动短信平台发送温馨提示短信 52 万余条；利用多种形式开展宣传教育活动，累计发放宣传资料 32000 余份、宣传小礼品 1000 余份，开展各类宣传活动 9 场。</w:t>
      </w:r>
      <w:r>
        <w:rPr>
          <w:rFonts w:hint="eastAsia" w:ascii="仿宋_GB2312" w:hAnsi="仿宋_GB2312" w:eastAsia="仿宋_GB2312" w:cs="仿宋_GB2312"/>
          <w:b/>
          <w:bCs/>
          <w:sz w:val="32"/>
          <w:szCs w:val="32"/>
          <w:lang w:val="en-US" w:eastAsia="zh-CN"/>
        </w:rPr>
        <w:t>二是全面强化源头管控。</w:t>
      </w:r>
      <w:r>
        <w:rPr>
          <w:rFonts w:hint="eastAsia" w:ascii="仿宋_GB2312" w:hAnsi="仿宋_GB2312" w:eastAsia="仿宋_GB2312" w:cs="仿宋_GB2312"/>
          <w:sz w:val="32"/>
          <w:szCs w:val="32"/>
          <w:lang w:val="en-US" w:eastAsia="zh-CN"/>
        </w:rPr>
        <w:t>贯彻落实林区野外火源管理办法，严格用火审批，查处野外违规用火 34 起罚款 14100 元；统筹专职巡山员、生态管护员等力量带装巡护，优化联合检查站，审批林牧区施工企业 15 家，办理通行证 675 份。</w:t>
      </w:r>
      <w:r>
        <w:rPr>
          <w:rFonts w:hint="eastAsia" w:ascii="仿宋_GB2312" w:hAnsi="仿宋_GB2312" w:eastAsia="仿宋_GB2312" w:cs="仿宋_GB2312"/>
          <w:b/>
          <w:bCs/>
          <w:sz w:val="32"/>
          <w:szCs w:val="32"/>
          <w:lang w:val="en-US" w:eastAsia="zh-CN"/>
        </w:rPr>
        <w:t>三是强化隐患排查整治。</w:t>
      </w:r>
      <w:r>
        <w:rPr>
          <w:rFonts w:hint="eastAsia" w:ascii="仿宋_GB2312" w:hAnsi="仿宋_GB2312" w:eastAsia="仿宋_GB2312" w:cs="仿宋_GB2312"/>
          <w:sz w:val="32"/>
          <w:szCs w:val="32"/>
          <w:lang w:val="en-US" w:eastAsia="zh-CN"/>
        </w:rPr>
        <w:t>对重点区域开展拉网式火灾隐患排查整治，排查出隐患 139 起，整改 104 起，下发水电企业提醒敦促函 2 份。四是加强重点领域监管。统筹全县103名专职巡山员和669名生态管护员开展巡山护林工作，全县1支地方专业扑火队（100人）和2支半专业扑火队（40人）在高火险时段有序开展带装巡护；强化落实全县191名特殊人员监管责任。五是抓基础设施建设。完成阿坝州2022年森林草原防灭火基础设施建设项目、阿坝州东部草原防火综合治理项目，黑水县防灭火预警空天地一体化监测体系建设项目目前正在按照时间节点有序推进。</w:t>
      </w:r>
      <w:r>
        <w:rPr>
          <w:rFonts w:hint="eastAsia" w:ascii="仿宋_GB2312" w:hAnsi="仿宋_GB2312" w:eastAsia="仿宋_GB2312" w:cs="仿宋_GB2312"/>
          <w:color w:val="auto"/>
          <w:kern w:val="2"/>
          <w:sz w:val="32"/>
          <w:szCs w:val="32"/>
          <w:lang w:val="en-US" w:eastAsia="zh-CN" w:bidi="ar-SA"/>
        </w:rPr>
        <w:t>绩效自评得5分。</w:t>
      </w:r>
    </w:p>
    <w:p w14:paraId="0602C199">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ascii="仿宋_GB2312" w:hAnsi="仿宋_GB2312" w:eastAsia="仿宋_GB2312" w:cs="仿宋_GB2312"/>
          <w:b/>
          <w:bCs w:val="0"/>
          <w:color w:val="auto"/>
          <w:kern w:val="0"/>
          <w:sz w:val="32"/>
          <w:szCs w:val="32"/>
          <w:lang w:val="en-US" w:eastAsia="zh-CN"/>
        </w:rPr>
      </w:pPr>
      <w:r>
        <w:rPr>
          <w:rFonts w:hint="eastAsia" w:ascii="仿宋_GB2312" w:hAnsi="仿宋_GB2312" w:eastAsia="仿宋_GB2312" w:cs="仿宋_GB2312"/>
          <w:b/>
          <w:bCs w:val="0"/>
          <w:color w:val="auto"/>
          <w:kern w:val="0"/>
          <w:sz w:val="32"/>
          <w:szCs w:val="32"/>
          <w:lang w:val="en-US" w:eastAsia="zh-CN"/>
        </w:rPr>
        <w:t>（三）林长制</w:t>
      </w:r>
    </w:p>
    <w:p w14:paraId="1EF03DF2">
      <w:pPr>
        <w:keepNext w:val="0"/>
        <w:keepLines w:val="0"/>
        <w:pageBreakBefore w:val="0"/>
        <w:widowControl w:val="0"/>
        <w:numPr>
          <w:ilvl w:val="0"/>
          <w:numId w:val="0"/>
        </w:numPr>
        <w:pBdr>
          <w:bottom w:val="single" w:color="FFFFFF" w:sz="4" w:space="23"/>
        </w:pBdr>
        <w:tabs>
          <w:tab w:val="left" w:pos="0"/>
        </w:tabs>
        <w:kinsoku/>
        <w:wordWrap/>
        <w:overflowPunct/>
        <w:topLinePunct w:val="0"/>
        <w:autoSpaceDE/>
        <w:autoSpaceDN/>
        <w:bidi w:val="0"/>
        <w:adjustRightInd w:val="0"/>
        <w:snapToGrid/>
        <w:spacing w:line="560" w:lineRule="exact"/>
        <w:ind w:firstLine="640" w:firstLineChars="200"/>
        <w:textAlignment w:val="auto"/>
        <w:outlineLvl w:val="9"/>
        <w:rPr>
          <w:rFonts w:hint="eastAsia" w:ascii="仿宋_GB2312" w:hAnsi="仿宋_GB2312" w:cs="仿宋_GB2312"/>
          <w:color w:val="FF0000"/>
          <w:kern w:val="2"/>
          <w:sz w:val="32"/>
          <w:szCs w:val="32"/>
          <w:lang w:val="en-US" w:eastAsia="zh-CN" w:bidi="ar-SA"/>
        </w:rPr>
      </w:pPr>
      <w:r>
        <w:rPr>
          <w:rFonts w:hint="eastAsia" w:ascii="仿宋_GB2312" w:hAnsi="仿宋_GB2312" w:eastAsia="仿宋_GB2312" w:cs="仿宋_GB2312"/>
          <w:sz w:val="32"/>
          <w:szCs w:val="32"/>
          <w:lang w:val="en-US" w:eastAsia="zh-CN"/>
        </w:rPr>
        <w:t>以全面推行林长制为统领，以推动高质量发展为主线，不断厚植绿色发展底色。</w:t>
      </w:r>
      <w:r>
        <w:rPr>
          <w:rFonts w:hint="eastAsia" w:ascii="仿宋_GB2312" w:hAnsi="仿宋_GB2312" w:eastAsia="仿宋_GB2312" w:cs="仿宋_GB2312"/>
          <w:b/>
          <w:bCs/>
          <w:sz w:val="32"/>
          <w:szCs w:val="32"/>
          <w:lang w:val="en-US" w:eastAsia="zh-CN"/>
        </w:rPr>
        <w:t>一是明确工作重点。</w:t>
      </w:r>
      <w:r>
        <w:rPr>
          <w:rFonts w:hint="eastAsia" w:ascii="仿宋_GB2312" w:hAnsi="仿宋_GB2312" w:eastAsia="仿宋_GB2312" w:cs="仿宋_GB2312"/>
          <w:sz w:val="32"/>
          <w:szCs w:val="32"/>
          <w:lang w:val="en-US" w:eastAsia="zh-CN"/>
        </w:rPr>
        <w:t>根据《阿坝州2024年林长制工作要点》，结合我县实际，2024年以来印发了《黑水县黑水县林长制工作要点》《黑水县古树名木管理分级落实林长保护责任实施方案》等文件。</w:t>
      </w:r>
      <w:r>
        <w:rPr>
          <w:rFonts w:hint="eastAsia" w:ascii="仿宋_GB2312" w:hAnsi="仿宋_GB2312" w:eastAsia="仿宋_GB2312" w:cs="仿宋_GB2312"/>
          <w:b/>
          <w:bCs/>
          <w:sz w:val="32"/>
          <w:szCs w:val="32"/>
          <w:lang w:val="en-US" w:eastAsia="zh-CN"/>
        </w:rPr>
        <w:t>二是不断完善县乡村三级林长组织体系。</w:t>
      </w:r>
      <w:r>
        <w:rPr>
          <w:rFonts w:hint="eastAsia" w:ascii="仿宋_GB2312" w:hAnsi="仿宋_GB2312" w:eastAsia="仿宋_GB2312" w:cs="仿宋_GB2312"/>
          <w:sz w:val="32"/>
          <w:szCs w:val="32"/>
          <w:lang w:val="en-US" w:eastAsia="zh-CN"/>
        </w:rPr>
        <w:t>全县各级林长280人，村级监督员101人，护林（草）员669人（其中：264名是中省补助资金、405名是州级补助资金）实现了林地、草原、湿地的分级管理全覆盖。截至10月底，各级林长开展巡林8963次，发现解决问题70个；印发提示单、督办函4个；召开了林长制全体会议；调整了黑水县全面推行林长制工作领导小组；开展了1次林长制工作综合督查、生态护林员全覆盖培训1次、在岗督查7次。</w:t>
      </w:r>
      <w:r>
        <w:rPr>
          <w:rFonts w:hint="eastAsia" w:ascii="仿宋_GB2312" w:hAnsi="仿宋_GB2312" w:eastAsia="仿宋_GB2312" w:cs="仿宋_GB2312"/>
          <w:b/>
          <w:bCs/>
          <w:sz w:val="32"/>
          <w:szCs w:val="32"/>
          <w:lang w:val="en-US" w:eastAsia="zh-CN"/>
        </w:rPr>
        <w:t>三是健全联动机制作用。</w:t>
      </w:r>
      <w:r>
        <w:rPr>
          <w:rFonts w:hint="eastAsia" w:ascii="仿宋_GB2312" w:hAnsi="仿宋_GB2312" w:eastAsia="仿宋_GB2312" w:cs="仿宋_GB2312"/>
          <w:sz w:val="32"/>
          <w:szCs w:val="32"/>
          <w:lang w:val="en-US" w:eastAsia="zh-CN"/>
        </w:rPr>
        <w:t>充分发挥“一长三员”“林长+法院院长+检察长”协作机制、成员单位协作机制。开展了打击破坏森林、草原、湿地资源违法违规专项行动。县林草局、县公安局、县司法局等单位有效衔接对县域内一起乱砍滥伐违法行为发起生态赔偿。</w:t>
      </w:r>
      <w:r>
        <w:rPr>
          <w:rFonts w:hint="eastAsia" w:ascii="仿宋_GB2312" w:hAnsi="仿宋_GB2312" w:eastAsia="仿宋_GB2312" w:cs="仿宋_GB2312"/>
          <w:b/>
          <w:bCs/>
          <w:sz w:val="32"/>
          <w:szCs w:val="32"/>
          <w:lang w:val="en-US" w:eastAsia="zh-CN"/>
        </w:rPr>
        <w:t>四是加强行政执法证件管理。</w:t>
      </w:r>
      <w:r>
        <w:rPr>
          <w:rFonts w:hint="eastAsia" w:ascii="仿宋_GB2312" w:hAnsi="仿宋_GB2312" w:eastAsia="仿宋_GB2312" w:cs="仿宋_GB2312"/>
          <w:sz w:val="32"/>
          <w:szCs w:val="32"/>
          <w:lang w:val="en-US" w:eastAsia="zh-CN"/>
        </w:rPr>
        <w:t>县林草局推行在岗人员必须具备行政执法证，目前持证人达64人；乡镇从事林业行政执法的岗位人员均持有行政执法证，执法队伍能力得到了极大提升，五是推动乡镇级林长办标准化建设。今年，全县15个乡镇开展了乡镇林长办规范化建设，目前已完成县级验收。乡镇级林长办标准化建成，完善了林草资源网格化管理体系，提升了基层林草治理能力。</w:t>
      </w:r>
      <w:r>
        <w:rPr>
          <w:rFonts w:hint="eastAsia" w:ascii="仿宋_GB2312" w:hAnsi="仿宋_GB2312" w:eastAsia="仿宋_GB2312" w:cs="仿宋_GB2312"/>
          <w:color w:val="auto"/>
          <w:kern w:val="2"/>
          <w:sz w:val="32"/>
          <w:szCs w:val="32"/>
          <w:lang w:val="en-US" w:eastAsia="zh-CN" w:bidi="ar-SA"/>
        </w:rPr>
        <w:t>绩效自评得5分。</w:t>
      </w:r>
      <w:r>
        <w:rPr>
          <w:rFonts w:hint="eastAsia" w:ascii="仿宋_GB2312" w:hAnsi="仿宋_GB2312" w:cs="仿宋_GB2312"/>
          <w:color w:val="FF0000"/>
          <w:kern w:val="2"/>
          <w:sz w:val="32"/>
          <w:szCs w:val="32"/>
          <w:lang w:val="en-US" w:eastAsia="zh-CN" w:bidi="ar-SA"/>
        </w:rPr>
        <w:t xml:space="preserve">                 </w:t>
      </w:r>
    </w:p>
    <w:p w14:paraId="25408C81">
      <w:pPr>
        <w:keepNext w:val="0"/>
        <w:keepLines w:val="0"/>
        <w:pageBreakBefore w:val="0"/>
        <w:widowControl w:val="0"/>
        <w:numPr>
          <w:ilvl w:val="0"/>
          <w:numId w:val="0"/>
        </w:numPr>
        <w:pBdr>
          <w:bottom w:val="single" w:color="FFFFFF" w:sz="4" w:space="23"/>
        </w:pBdr>
        <w:tabs>
          <w:tab w:val="left" w:pos="0"/>
        </w:tabs>
        <w:kinsoku/>
        <w:wordWrap/>
        <w:overflowPunct/>
        <w:topLinePunct w:val="0"/>
        <w:autoSpaceDE/>
        <w:autoSpaceDN/>
        <w:bidi w:val="0"/>
        <w:adjustRightInd w:val="0"/>
        <w:snapToGrid/>
        <w:spacing w:line="560" w:lineRule="exact"/>
        <w:ind w:firstLine="643" w:firstLineChars="200"/>
        <w:textAlignment w:val="auto"/>
        <w:outlineLvl w:val="9"/>
        <w:rPr>
          <w:rFonts w:hint="eastAsia" w:ascii="楷体_GB2312" w:hAnsi="楷体_GB2312" w:eastAsia="楷体_GB2312" w:cs="楷体_GB2312"/>
          <w:b/>
          <w:bCs/>
          <w:color w:val="auto"/>
          <w:kern w:val="0"/>
          <w:sz w:val="32"/>
          <w:szCs w:val="32"/>
          <w:highlight w:val="none"/>
          <w:shd w:val="clear" w:color="auto" w:fill="FFFFFF"/>
          <w:lang w:val="zh-CN"/>
        </w:rPr>
      </w:pPr>
      <w:r>
        <w:rPr>
          <w:rFonts w:hint="eastAsia" w:ascii="楷体_GB2312" w:hAnsi="楷体_GB2312" w:eastAsia="楷体_GB2312" w:cs="楷体_GB2312"/>
          <w:b/>
          <w:bCs/>
          <w:color w:val="auto"/>
          <w:kern w:val="0"/>
          <w:sz w:val="32"/>
          <w:szCs w:val="32"/>
          <w:highlight w:val="none"/>
          <w:shd w:val="clear" w:color="auto" w:fill="FFFFFF"/>
          <w:lang w:val="en-US" w:eastAsia="zh-CN"/>
        </w:rPr>
        <w:t>2.</w:t>
      </w:r>
      <w:r>
        <w:rPr>
          <w:rFonts w:hint="eastAsia" w:ascii="楷体_GB2312" w:hAnsi="楷体_GB2312" w:eastAsia="楷体_GB2312" w:cs="楷体_GB2312"/>
          <w:b/>
          <w:bCs/>
          <w:color w:val="auto"/>
          <w:kern w:val="0"/>
          <w:sz w:val="32"/>
          <w:szCs w:val="32"/>
          <w:highlight w:val="none"/>
          <w:shd w:val="clear" w:color="auto" w:fill="FFFFFF"/>
          <w:lang w:val="zh-CN"/>
        </w:rPr>
        <w:t>预算管理。</w:t>
      </w:r>
    </w:p>
    <w:p w14:paraId="5394D06C">
      <w:pPr>
        <w:keepNext w:val="0"/>
        <w:keepLines w:val="0"/>
        <w:pageBreakBefore w:val="0"/>
        <w:widowControl w:val="0"/>
        <w:numPr>
          <w:ilvl w:val="0"/>
          <w:numId w:val="0"/>
        </w:numPr>
        <w:pBdr>
          <w:bottom w:val="single" w:color="FFFFFF" w:sz="4" w:space="23"/>
        </w:pBdr>
        <w:tabs>
          <w:tab w:val="left" w:pos="0"/>
        </w:tabs>
        <w:kinsoku/>
        <w:wordWrap/>
        <w:overflowPunct/>
        <w:topLinePunct w:val="0"/>
        <w:autoSpaceDE/>
        <w:autoSpaceDN/>
        <w:bidi w:val="0"/>
        <w:adjustRightInd w:val="0"/>
        <w:snapToGrid/>
        <w:spacing w:line="560" w:lineRule="exact"/>
        <w:ind w:firstLine="640" w:firstLineChars="200"/>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一是部门预算编制目标制定清晰，部门整体绩效目标编制完整、合理部门整体绩效目标能完整、合理反映部门年度职责履行情况，项目绩效目标编制明确，并通过了预算草案审查，审查后未提出确需修改的问题。二是预算编制质量。严格按要求编制年初部门预算，年初预算编制具有科学性和准确性，该项指标</w:t>
      </w:r>
      <w:r>
        <w:rPr>
          <w:rFonts w:hint="eastAsia" w:ascii="仿宋_GB2312" w:hAnsi="仿宋_GB2312" w:cs="仿宋_GB2312"/>
          <w:color w:val="auto"/>
          <w:kern w:val="2"/>
          <w:sz w:val="32"/>
          <w:szCs w:val="32"/>
          <w:lang w:val="en-US" w:eastAsia="zh-CN" w:bidi="ar-SA"/>
        </w:rPr>
        <w:t>自评得分为7分。</w:t>
      </w:r>
      <w:r>
        <w:rPr>
          <w:rFonts w:hint="eastAsia" w:ascii="仿宋_GB2312" w:hAnsi="仿宋_GB2312" w:eastAsia="仿宋_GB2312" w:cs="仿宋_GB2312"/>
          <w:color w:val="auto"/>
          <w:kern w:val="2"/>
          <w:sz w:val="32"/>
          <w:szCs w:val="32"/>
          <w:lang w:val="en-US" w:eastAsia="zh-CN" w:bidi="ar-SA"/>
        </w:rPr>
        <w:t>三是单位全年收入均属财政拨款收入，纳入预算管理，结息收入按规定上缴财政，自评得分为</w:t>
      </w:r>
      <w:r>
        <w:rPr>
          <w:rFonts w:hint="eastAsia" w:ascii="仿宋_GB2312" w:hAnsi="仿宋_GB2312" w:cs="仿宋_GB2312"/>
          <w:color w:val="auto"/>
          <w:kern w:val="2"/>
          <w:sz w:val="32"/>
          <w:szCs w:val="32"/>
          <w:lang w:val="en-US" w:eastAsia="zh-CN" w:bidi="ar-SA"/>
        </w:rPr>
        <w:t>3</w:t>
      </w:r>
      <w:r>
        <w:rPr>
          <w:rFonts w:hint="eastAsia" w:ascii="仿宋_GB2312" w:hAnsi="仿宋_GB2312" w:eastAsia="仿宋_GB2312" w:cs="仿宋_GB2312"/>
          <w:color w:val="auto"/>
          <w:kern w:val="2"/>
          <w:sz w:val="32"/>
          <w:szCs w:val="32"/>
          <w:lang w:val="en-US" w:eastAsia="zh-CN" w:bidi="ar-SA"/>
        </w:rPr>
        <w:t>分。四是支出执行进度。202</w:t>
      </w:r>
      <w:r>
        <w:rPr>
          <w:rFonts w:hint="eastAsia" w:ascii="仿宋_GB2312" w:hAnsi="仿宋_GB2312" w:cs="仿宋_GB2312"/>
          <w:color w:val="auto"/>
          <w:kern w:val="2"/>
          <w:sz w:val="32"/>
          <w:szCs w:val="32"/>
          <w:lang w:val="en-US" w:eastAsia="zh-CN" w:bidi="ar-SA"/>
        </w:rPr>
        <w:t>4</w:t>
      </w:r>
      <w:r>
        <w:rPr>
          <w:rFonts w:hint="eastAsia" w:ascii="仿宋_GB2312" w:hAnsi="仿宋_GB2312" w:eastAsia="仿宋_GB2312" w:cs="仿宋_GB2312"/>
          <w:color w:val="auto"/>
          <w:kern w:val="2"/>
          <w:sz w:val="32"/>
          <w:szCs w:val="32"/>
          <w:lang w:val="en-US" w:eastAsia="zh-CN" w:bidi="ar-SA"/>
        </w:rPr>
        <w:t>年年初预算收入</w:t>
      </w:r>
      <w:r>
        <w:rPr>
          <w:rFonts w:hint="eastAsia" w:ascii="仿宋_GB2312" w:hAnsi="仿宋_GB2312" w:cs="仿宋_GB2312"/>
          <w:color w:val="auto"/>
          <w:kern w:val="2"/>
          <w:sz w:val="32"/>
          <w:szCs w:val="32"/>
          <w:lang w:val="en-US" w:eastAsia="zh-CN" w:bidi="ar-SA"/>
        </w:rPr>
        <w:t>2995.6</w:t>
      </w:r>
      <w:r>
        <w:rPr>
          <w:rFonts w:hint="eastAsia" w:ascii="仿宋_GB2312" w:hAnsi="仿宋_GB2312" w:eastAsia="仿宋_GB2312" w:cs="仿宋_GB2312"/>
          <w:color w:val="auto"/>
          <w:kern w:val="2"/>
          <w:sz w:val="32"/>
          <w:szCs w:val="32"/>
          <w:lang w:val="en-US" w:eastAsia="zh-CN" w:bidi="ar-SA"/>
        </w:rPr>
        <w:t>万元、决算报表收入</w:t>
      </w:r>
      <w:r>
        <w:rPr>
          <w:rFonts w:hint="eastAsia" w:ascii="仿宋_GB2312" w:hAnsi="仿宋_GB2312" w:cs="仿宋_GB2312"/>
          <w:color w:val="auto"/>
          <w:kern w:val="2"/>
          <w:sz w:val="32"/>
          <w:szCs w:val="32"/>
          <w:lang w:val="en-US" w:eastAsia="zh-CN" w:bidi="ar-SA"/>
        </w:rPr>
        <w:t>6638.29</w:t>
      </w:r>
      <w:r>
        <w:rPr>
          <w:rFonts w:hint="eastAsia" w:ascii="仿宋_GB2312" w:hAnsi="仿宋_GB2312" w:eastAsia="仿宋_GB2312" w:cs="仿宋_GB2312"/>
          <w:color w:val="auto"/>
          <w:kern w:val="2"/>
          <w:sz w:val="32"/>
          <w:szCs w:val="32"/>
          <w:lang w:val="en-US" w:eastAsia="zh-CN" w:bidi="ar-SA"/>
        </w:rPr>
        <w:t>万元。202</w:t>
      </w:r>
      <w:r>
        <w:rPr>
          <w:rFonts w:hint="eastAsia" w:ascii="仿宋_GB2312" w:hAnsi="仿宋_GB2312" w:cs="仿宋_GB2312"/>
          <w:color w:val="auto"/>
          <w:kern w:val="2"/>
          <w:sz w:val="32"/>
          <w:szCs w:val="32"/>
          <w:lang w:val="en-US" w:eastAsia="zh-CN" w:bidi="ar-SA"/>
        </w:rPr>
        <w:t>4</w:t>
      </w:r>
      <w:r>
        <w:rPr>
          <w:rFonts w:hint="eastAsia" w:ascii="仿宋_GB2312" w:hAnsi="仿宋_GB2312" w:eastAsia="仿宋_GB2312" w:cs="仿宋_GB2312"/>
          <w:color w:val="auto"/>
          <w:kern w:val="2"/>
          <w:sz w:val="32"/>
          <w:szCs w:val="32"/>
          <w:lang w:val="en-US" w:eastAsia="zh-CN" w:bidi="ar-SA"/>
        </w:rPr>
        <w:t>年年初预算支出</w:t>
      </w:r>
      <w:r>
        <w:rPr>
          <w:rFonts w:hint="eastAsia" w:ascii="仿宋_GB2312" w:hAnsi="仿宋_GB2312" w:cs="仿宋_GB2312"/>
          <w:color w:val="auto"/>
          <w:kern w:val="2"/>
          <w:sz w:val="32"/>
          <w:szCs w:val="32"/>
          <w:lang w:val="en-US" w:eastAsia="zh-CN" w:bidi="ar-SA"/>
        </w:rPr>
        <w:t>2995.6</w:t>
      </w:r>
      <w:r>
        <w:rPr>
          <w:rFonts w:hint="eastAsia" w:ascii="仿宋_GB2312" w:hAnsi="仿宋_GB2312" w:eastAsia="仿宋_GB2312" w:cs="仿宋_GB2312"/>
          <w:color w:val="auto"/>
          <w:kern w:val="2"/>
          <w:sz w:val="32"/>
          <w:szCs w:val="32"/>
          <w:lang w:val="en-US" w:eastAsia="zh-CN" w:bidi="ar-SA"/>
        </w:rPr>
        <w:t>万元、决算报表支出情况为</w:t>
      </w:r>
      <w:r>
        <w:rPr>
          <w:rFonts w:hint="eastAsia" w:ascii="仿宋_GB2312" w:hAnsi="仿宋_GB2312" w:cs="仿宋_GB2312"/>
          <w:color w:val="auto"/>
          <w:kern w:val="2"/>
          <w:sz w:val="32"/>
          <w:szCs w:val="32"/>
          <w:lang w:val="en-US" w:eastAsia="zh-CN" w:bidi="ar-SA"/>
        </w:rPr>
        <w:t>6638.29</w:t>
      </w:r>
      <w:r>
        <w:rPr>
          <w:rFonts w:hint="eastAsia" w:ascii="仿宋_GB2312" w:hAnsi="仿宋_GB2312" w:eastAsia="仿宋_GB2312" w:cs="仿宋_GB2312"/>
          <w:color w:val="auto"/>
          <w:kern w:val="2"/>
          <w:sz w:val="32"/>
          <w:szCs w:val="32"/>
          <w:lang w:val="en-US" w:eastAsia="zh-CN" w:bidi="ar-SA"/>
        </w:rPr>
        <w:t>万元。自评得分为</w:t>
      </w:r>
      <w:r>
        <w:rPr>
          <w:rFonts w:hint="eastAsia" w:ascii="仿宋_GB2312" w:hAnsi="仿宋_GB2312" w:cs="仿宋_GB2312"/>
          <w:color w:val="auto"/>
          <w:kern w:val="2"/>
          <w:sz w:val="32"/>
          <w:szCs w:val="32"/>
          <w:lang w:val="en-US" w:eastAsia="zh-CN" w:bidi="ar-SA"/>
        </w:rPr>
        <w:t>4</w:t>
      </w:r>
      <w:r>
        <w:rPr>
          <w:rFonts w:hint="eastAsia" w:ascii="仿宋_GB2312" w:hAnsi="仿宋_GB2312" w:eastAsia="仿宋_GB2312" w:cs="仿宋_GB2312"/>
          <w:color w:val="auto"/>
          <w:kern w:val="2"/>
          <w:sz w:val="32"/>
          <w:szCs w:val="32"/>
          <w:lang w:val="en-US" w:eastAsia="zh-CN" w:bidi="ar-SA"/>
        </w:rPr>
        <w:t>分。五是预算年终结余。年末结余为零，收支平衡，该项指标自评得分为2分。六是严控一般性支出。202</w:t>
      </w:r>
      <w:r>
        <w:rPr>
          <w:rFonts w:hint="eastAsia" w:ascii="仿宋_GB2312" w:hAnsi="仿宋_GB2312" w:cs="仿宋_GB2312"/>
          <w:color w:val="auto"/>
          <w:kern w:val="2"/>
          <w:sz w:val="32"/>
          <w:szCs w:val="32"/>
          <w:lang w:val="en-US" w:eastAsia="zh-CN" w:bidi="ar-SA"/>
        </w:rPr>
        <w:t>4</w:t>
      </w:r>
      <w:r>
        <w:rPr>
          <w:rFonts w:hint="eastAsia" w:ascii="仿宋_GB2312" w:hAnsi="仿宋_GB2312" w:eastAsia="仿宋_GB2312" w:cs="仿宋_GB2312"/>
          <w:color w:val="auto"/>
          <w:kern w:val="2"/>
          <w:sz w:val="32"/>
          <w:szCs w:val="32"/>
          <w:lang w:val="en-US" w:eastAsia="zh-CN" w:bidi="ar-SA"/>
        </w:rPr>
        <w:t>年部门厉行节约，一般性支出差旅费、“三公”经费等支出决算数均低于202</w:t>
      </w:r>
      <w:r>
        <w:rPr>
          <w:rFonts w:hint="eastAsia" w:ascii="仿宋_GB2312" w:hAnsi="仿宋_GB2312" w:cs="仿宋_GB2312"/>
          <w:color w:val="auto"/>
          <w:kern w:val="2"/>
          <w:sz w:val="32"/>
          <w:szCs w:val="32"/>
          <w:lang w:val="en-US" w:eastAsia="zh-CN" w:bidi="ar-SA"/>
        </w:rPr>
        <w:t>3</w:t>
      </w:r>
      <w:r>
        <w:rPr>
          <w:rFonts w:hint="eastAsia" w:ascii="仿宋_GB2312" w:hAnsi="仿宋_GB2312" w:eastAsia="仿宋_GB2312" w:cs="仿宋_GB2312"/>
          <w:color w:val="auto"/>
          <w:kern w:val="2"/>
          <w:sz w:val="32"/>
          <w:szCs w:val="32"/>
          <w:lang w:val="en-US" w:eastAsia="zh-CN" w:bidi="ar-SA"/>
        </w:rPr>
        <w:t>年度决算数。其中基础分值得分</w:t>
      </w:r>
      <w:r>
        <w:rPr>
          <w:rFonts w:hint="eastAsia" w:ascii="仿宋_GB2312" w:hAnsi="仿宋_GB2312" w:cs="仿宋_GB2312"/>
          <w:color w:val="auto"/>
          <w:kern w:val="2"/>
          <w:sz w:val="32"/>
          <w:szCs w:val="32"/>
          <w:lang w:val="en-US" w:eastAsia="zh-CN" w:bidi="ar-SA"/>
        </w:rPr>
        <w:t>1</w:t>
      </w:r>
      <w:r>
        <w:rPr>
          <w:rFonts w:hint="eastAsia" w:ascii="仿宋_GB2312" w:hAnsi="仿宋_GB2312" w:eastAsia="仿宋_GB2312" w:cs="仿宋_GB2312"/>
          <w:color w:val="auto"/>
          <w:kern w:val="2"/>
          <w:sz w:val="32"/>
          <w:szCs w:val="32"/>
          <w:lang w:val="en-US" w:eastAsia="zh-CN" w:bidi="ar-SA"/>
        </w:rPr>
        <w:t>分； 一般性支出财政拨款预算执行较上年每压减1%得0.4 分，自评得分2分。</w:t>
      </w:r>
    </w:p>
    <w:p w14:paraId="77DD0ACD">
      <w:pPr>
        <w:keepNext w:val="0"/>
        <w:keepLines w:val="0"/>
        <w:pageBreakBefore w:val="0"/>
        <w:widowControl w:val="0"/>
        <w:numPr>
          <w:ilvl w:val="0"/>
          <w:numId w:val="0"/>
        </w:numPr>
        <w:pBdr>
          <w:bottom w:val="single" w:color="FFFFFF" w:sz="4" w:space="23"/>
        </w:pBdr>
        <w:tabs>
          <w:tab w:val="left" w:pos="0"/>
        </w:tabs>
        <w:kinsoku/>
        <w:wordWrap/>
        <w:overflowPunct/>
        <w:topLinePunct w:val="0"/>
        <w:autoSpaceDE/>
        <w:autoSpaceDN/>
        <w:bidi w:val="0"/>
        <w:adjustRightInd w:val="0"/>
        <w:snapToGrid/>
        <w:spacing w:line="560" w:lineRule="exact"/>
        <w:ind w:firstLine="643" w:firstLineChars="200"/>
        <w:textAlignment w:val="auto"/>
        <w:outlineLvl w:val="9"/>
        <w:rPr>
          <w:rFonts w:hint="eastAsia" w:ascii="楷体_GB2312" w:hAnsi="楷体_GB2312" w:eastAsia="楷体_GB2312" w:cs="楷体_GB2312"/>
          <w:b/>
          <w:bCs/>
          <w:color w:val="auto"/>
          <w:kern w:val="0"/>
          <w:sz w:val="32"/>
          <w:szCs w:val="32"/>
          <w:highlight w:val="none"/>
          <w:shd w:val="clear" w:color="auto" w:fill="FFFFFF"/>
          <w:lang w:val="zh-CN"/>
        </w:rPr>
      </w:pPr>
      <w:r>
        <w:rPr>
          <w:rFonts w:hint="eastAsia" w:ascii="楷体_GB2312" w:hAnsi="楷体_GB2312" w:eastAsia="楷体_GB2312" w:cs="楷体_GB2312"/>
          <w:b/>
          <w:bCs/>
          <w:color w:val="auto"/>
          <w:kern w:val="0"/>
          <w:sz w:val="32"/>
          <w:szCs w:val="32"/>
          <w:highlight w:val="none"/>
          <w:shd w:val="clear" w:color="auto" w:fill="FFFFFF"/>
          <w:lang w:val="en-US" w:eastAsia="zh-CN"/>
        </w:rPr>
        <w:t>3.</w:t>
      </w:r>
      <w:r>
        <w:rPr>
          <w:rFonts w:hint="eastAsia" w:ascii="楷体_GB2312" w:hAnsi="楷体_GB2312" w:eastAsia="楷体_GB2312" w:cs="楷体_GB2312"/>
          <w:b/>
          <w:bCs/>
          <w:color w:val="auto"/>
          <w:kern w:val="0"/>
          <w:sz w:val="32"/>
          <w:szCs w:val="32"/>
          <w:highlight w:val="none"/>
          <w:shd w:val="clear" w:color="auto" w:fill="FFFFFF"/>
          <w:lang w:val="zh-CN"/>
        </w:rPr>
        <w:t>财务管理。</w:t>
      </w:r>
    </w:p>
    <w:p w14:paraId="1C1B9087">
      <w:pPr>
        <w:keepNext w:val="0"/>
        <w:keepLines w:val="0"/>
        <w:pageBreakBefore w:val="0"/>
        <w:widowControl w:val="0"/>
        <w:numPr>
          <w:ilvl w:val="0"/>
          <w:numId w:val="0"/>
        </w:numPr>
        <w:pBdr>
          <w:bottom w:val="single" w:color="FFFFFF" w:sz="4" w:space="23"/>
        </w:pBdr>
        <w:tabs>
          <w:tab w:val="left" w:pos="0"/>
        </w:tabs>
        <w:kinsoku/>
        <w:wordWrap/>
        <w:overflowPunct/>
        <w:topLinePunct w:val="0"/>
        <w:autoSpaceDE/>
        <w:autoSpaceDN/>
        <w:bidi w:val="0"/>
        <w:adjustRightInd w:val="0"/>
        <w:snapToGrid/>
        <w:spacing w:line="560" w:lineRule="exact"/>
        <w:ind w:firstLine="640" w:firstLineChars="200"/>
        <w:textAlignment w:val="auto"/>
        <w:outlineLvl w:val="9"/>
        <w:rPr>
          <w:rFonts w:hint="eastAsia" w:ascii="仿宋_GB2312" w:hAnsi="仿宋_GB2312" w:eastAsia="仿宋_GB2312" w:cs="仿宋_GB2312"/>
          <w:color w:val="auto"/>
          <w:kern w:val="2"/>
          <w:sz w:val="32"/>
          <w:szCs w:val="32"/>
          <w:lang w:val="zh-CN" w:eastAsia="zh-CN" w:bidi="ar-SA"/>
        </w:rPr>
      </w:pPr>
      <w:r>
        <w:rPr>
          <w:rFonts w:hint="eastAsia" w:ascii="仿宋_GB2312" w:hAnsi="仿宋_GB2312" w:eastAsia="仿宋_GB2312" w:cs="仿宋_GB2312"/>
          <w:color w:val="auto"/>
          <w:kern w:val="2"/>
          <w:sz w:val="32"/>
          <w:szCs w:val="32"/>
          <w:lang w:val="zh-CN" w:eastAsia="zh-CN" w:bidi="ar-SA"/>
        </w:rPr>
        <w:t>严格依照《中华人民共和国会计法》、《财务规则》、《行政单位会计制度》《中华人民共和国会计法》《行政事业单位财务管理办法》等规定制定出本单位各项财务制度《黑水县</w:t>
      </w:r>
      <w:r>
        <w:rPr>
          <w:rFonts w:hint="eastAsia" w:ascii="仿宋_GB2312" w:hAnsi="仿宋_GB2312" w:eastAsia="仿宋_GB2312" w:cs="仿宋_GB2312"/>
          <w:color w:val="auto"/>
          <w:kern w:val="2"/>
          <w:sz w:val="32"/>
          <w:szCs w:val="32"/>
          <w:lang w:val="en-US" w:eastAsia="zh-CN" w:bidi="ar-SA"/>
        </w:rPr>
        <w:t>林草局</w:t>
      </w:r>
      <w:r>
        <w:rPr>
          <w:rFonts w:hint="eastAsia" w:ascii="仿宋_GB2312" w:hAnsi="仿宋_GB2312" w:eastAsia="仿宋_GB2312" w:cs="仿宋_GB2312"/>
          <w:color w:val="auto"/>
          <w:kern w:val="2"/>
          <w:sz w:val="32"/>
          <w:szCs w:val="32"/>
          <w:lang w:val="zh-CN" w:eastAsia="zh-CN" w:bidi="ar-SA"/>
        </w:rPr>
        <w:t>财务管理制度》《黑水县</w:t>
      </w:r>
      <w:r>
        <w:rPr>
          <w:rFonts w:hint="eastAsia" w:ascii="仿宋_GB2312" w:hAnsi="仿宋_GB2312" w:eastAsia="仿宋_GB2312" w:cs="仿宋_GB2312"/>
          <w:color w:val="auto"/>
          <w:kern w:val="2"/>
          <w:sz w:val="32"/>
          <w:szCs w:val="32"/>
          <w:lang w:val="en-US" w:eastAsia="zh-CN" w:bidi="ar-SA"/>
        </w:rPr>
        <w:t>林草局</w:t>
      </w:r>
      <w:r>
        <w:rPr>
          <w:rFonts w:hint="eastAsia" w:ascii="仿宋_GB2312" w:hAnsi="仿宋_GB2312" w:eastAsia="仿宋_GB2312" w:cs="仿宋_GB2312"/>
          <w:color w:val="auto"/>
          <w:kern w:val="2"/>
          <w:sz w:val="32"/>
          <w:szCs w:val="32"/>
          <w:lang w:val="zh-CN" w:eastAsia="zh-CN" w:bidi="ar-SA"/>
        </w:rPr>
        <w:t>固定资产管理制度》等一系列财经规定，进行财务管理、核算、控制和监督。明确资金支付审核流程，财务岗位设置明确，会计出纳分设，财政资金使用规范有效。一是财务管理制度反映部门财务管理制度建立情况。并严格按照制度执行，保障财政资金合规使用。自评得分4分。二是财务岗位设置反映部门财务岗位设置是否符合相关财务管理制度要求，自评得分2分。三是资金使用规范。黑水县</w:t>
      </w:r>
      <w:r>
        <w:rPr>
          <w:rFonts w:hint="eastAsia" w:ascii="仿宋_GB2312" w:hAnsi="仿宋_GB2312" w:eastAsia="仿宋_GB2312" w:cs="仿宋_GB2312"/>
          <w:color w:val="auto"/>
          <w:kern w:val="2"/>
          <w:sz w:val="32"/>
          <w:szCs w:val="32"/>
          <w:lang w:val="en-US" w:eastAsia="zh-CN" w:bidi="ar-SA"/>
        </w:rPr>
        <w:t>林草</w:t>
      </w:r>
      <w:r>
        <w:rPr>
          <w:rFonts w:hint="eastAsia" w:ascii="仿宋_GB2312" w:hAnsi="仿宋_GB2312" w:eastAsia="仿宋_GB2312" w:cs="仿宋_GB2312"/>
          <w:color w:val="auto"/>
          <w:kern w:val="2"/>
          <w:sz w:val="32"/>
          <w:szCs w:val="32"/>
          <w:lang w:val="zh-CN" w:eastAsia="zh-CN" w:bidi="ar-SA"/>
        </w:rPr>
        <w:t>局部门资金使用符合相关财务管理制度规定，明确资金支付审核流程，部门资金使用严格按照各级相关资金管理规定支出。自评得分4分。</w:t>
      </w:r>
    </w:p>
    <w:p w14:paraId="555AB412">
      <w:pPr>
        <w:keepNext w:val="0"/>
        <w:keepLines w:val="0"/>
        <w:pageBreakBefore w:val="0"/>
        <w:widowControl w:val="0"/>
        <w:numPr>
          <w:ilvl w:val="0"/>
          <w:numId w:val="0"/>
        </w:numPr>
        <w:pBdr>
          <w:bottom w:val="single" w:color="FFFFFF" w:sz="4" w:space="23"/>
        </w:pBdr>
        <w:tabs>
          <w:tab w:val="left" w:pos="0"/>
        </w:tabs>
        <w:kinsoku/>
        <w:wordWrap/>
        <w:overflowPunct/>
        <w:topLinePunct w:val="0"/>
        <w:autoSpaceDE/>
        <w:autoSpaceDN/>
        <w:bidi w:val="0"/>
        <w:adjustRightInd w:val="0"/>
        <w:snapToGrid/>
        <w:spacing w:line="560" w:lineRule="exact"/>
        <w:ind w:firstLine="643" w:firstLineChars="200"/>
        <w:textAlignment w:val="auto"/>
        <w:outlineLvl w:val="9"/>
        <w:rPr>
          <w:rFonts w:hint="eastAsia" w:ascii="楷体_GB2312" w:hAnsi="楷体_GB2312" w:eastAsia="楷体_GB2312" w:cs="楷体_GB2312"/>
          <w:b/>
          <w:bCs/>
          <w:color w:val="auto"/>
          <w:kern w:val="0"/>
          <w:sz w:val="32"/>
          <w:szCs w:val="32"/>
          <w:highlight w:val="none"/>
          <w:shd w:val="clear" w:color="auto" w:fill="FFFFFF"/>
          <w:lang w:val="zh-CN"/>
        </w:rPr>
      </w:pPr>
      <w:r>
        <w:rPr>
          <w:rFonts w:hint="eastAsia" w:ascii="楷体_GB2312" w:hAnsi="楷体_GB2312" w:eastAsia="楷体_GB2312" w:cs="楷体_GB2312"/>
          <w:b/>
          <w:bCs/>
          <w:color w:val="auto"/>
          <w:kern w:val="0"/>
          <w:sz w:val="32"/>
          <w:szCs w:val="32"/>
          <w:highlight w:val="none"/>
          <w:shd w:val="clear" w:color="auto" w:fill="FFFFFF"/>
          <w:lang w:val="en-US" w:eastAsia="zh-CN"/>
        </w:rPr>
        <w:t>4.</w:t>
      </w:r>
      <w:r>
        <w:rPr>
          <w:rFonts w:hint="eastAsia" w:ascii="楷体_GB2312" w:hAnsi="楷体_GB2312" w:eastAsia="楷体_GB2312" w:cs="楷体_GB2312"/>
          <w:b/>
          <w:bCs/>
          <w:color w:val="auto"/>
          <w:kern w:val="0"/>
          <w:sz w:val="32"/>
          <w:szCs w:val="32"/>
          <w:highlight w:val="none"/>
          <w:shd w:val="clear" w:color="auto" w:fill="FFFFFF"/>
          <w:lang w:val="zh-CN"/>
        </w:rPr>
        <w:t>资产管理。</w:t>
      </w:r>
    </w:p>
    <w:p w14:paraId="77EA09AC">
      <w:pPr>
        <w:keepNext w:val="0"/>
        <w:keepLines w:val="0"/>
        <w:pageBreakBefore w:val="0"/>
        <w:widowControl w:val="0"/>
        <w:numPr>
          <w:ilvl w:val="0"/>
          <w:numId w:val="0"/>
        </w:numPr>
        <w:pBdr>
          <w:bottom w:val="single" w:color="FFFFFF" w:sz="4" w:space="23"/>
        </w:pBdr>
        <w:tabs>
          <w:tab w:val="left" w:pos="0"/>
        </w:tabs>
        <w:kinsoku/>
        <w:wordWrap/>
        <w:overflowPunct/>
        <w:topLinePunct w:val="0"/>
        <w:autoSpaceDE/>
        <w:autoSpaceDN/>
        <w:bidi w:val="0"/>
        <w:adjustRightInd w:val="0"/>
        <w:snapToGrid/>
        <w:spacing w:line="560" w:lineRule="exact"/>
        <w:ind w:firstLine="640" w:firstLineChars="200"/>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202</w:t>
      </w:r>
      <w:r>
        <w:rPr>
          <w:rFonts w:hint="eastAsia" w:ascii="仿宋_GB2312" w:hAnsi="仿宋_GB2312" w:cs="仿宋_GB2312"/>
          <w:color w:val="auto"/>
          <w:kern w:val="2"/>
          <w:sz w:val="32"/>
          <w:szCs w:val="32"/>
          <w:lang w:val="en-US" w:eastAsia="zh-CN" w:bidi="ar-SA"/>
        </w:rPr>
        <w:t>4</w:t>
      </w:r>
      <w:r>
        <w:rPr>
          <w:rFonts w:hint="eastAsia" w:ascii="仿宋_GB2312" w:hAnsi="仿宋_GB2312" w:eastAsia="仿宋_GB2312" w:cs="仿宋_GB2312"/>
          <w:color w:val="auto"/>
          <w:kern w:val="2"/>
          <w:sz w:val="32"/>
          <w:szCs w:val="32"/>
          <w:lang w:val="en-US" w:eastAsia="zh-CN" w:bidi="ar-SA"/>
        </w:rPr>
        <w:t>年本部门固定资产年初数总额为</w:t>
      </w:r>
      <w:r>
        <w:rPr>
          <w:rFonts w:hint="eastAsia" w:ascii="仿宋_GB2312" w:hAnsi="仿宋_GB2312" w:cs="仿宋_GB2312"/>
          <w:color w:val="auto"/>
          <w:kern w:val="2"/>
          <w:sz w:val="32"/>
          <w:szCs w:val="32"/>
          <w:lang w:val="en-US" w:eastAsia="zh-CN" w:bidi="ar-SA"/>
        </w:rPr>
        <w:t>7089.53</w:t>
      </w:r>
      <w:r>
        <w:rPr>
          <w:rFonts w:hint="eastAsia" w:ascii="仿宋_GB2312" w:hAnsi="仿宋_GB2312" w:eastAsia="仿宋_GB2312" w:cs="仿宋_GB2312"/>
          <w:color w:val="auto"/>
          <w:kern w:val="2"/>
          <w:sz w:val="32"/>
          <w:szCs w:val="32"/>
          <w:lang w:val="en-US" w:eastAsia="zh-CN" w:bidi="ar-SA"/>
        </w:rPr>
        <w:t>元，本年新增固定资产价值</w:t>
      </w:r>
      <w:r>
        <w:rPr>
          <w:rFonts w:hint="eastAsia" w:ascii="仿宋_GB2312" w:hAnsi="仿宋_GB2312" w:cs="仿宋_GB2312"/>
          <w:color w:val="auto"/>
          <w:kern w:val="2"/>
          <w:sz w:val="32"/>
          <w:szCs w:val="32"/>
          <w:lang w:val="en-US" w:eastAsia="zh-CN" w:bidi="ar-SA"/>
        </w:rPr>
        <w:t>1073.93</w:t>
      </w:r>
      <w:r>
        <w:rPr>
          <w:rFonts w:hint="eastAsia" w:ascii="仿宋_GB2312" w:hAnsi="仿宋_GB2312" w:eastAsia="仿宋_GB2312" w:cs="仿宋_GB2312"/>
          <w:color w:val="auto"/>
          <w:kern w:val="2"/>
          <w:sz w:val="32"/>
          <w:szCs w:val="32"/>
          <w:lang w:val="en-US" w:eastAsia="zh-CN" w:bidi="ar-SA"/>
        </w:rPr>
        <w:t>万元，年末资产累计折旧</w:t>
      </w:r>
      <w:r>
        <w:rPr>
          <w:rFonts w:hint="eastAsia" w:ascii="仿宋_GB2312" w:hAnsi="仿宋_GB2312" w:cs="仿宋_GB2312"/>
          <w:color w:val="auto"/>
          <w:kern w:val="2"/>
          <w:sz w:val="32"/>
          <w:szCs w:val="32"/>
          <w:lang w:val="en-US" w:eastAsia="zh-CN" w:bidi="ar-SA"/>
        </w:rPr>
        <w:t>3871.18</w:t>
      </w:r>
      <w:r>
        <w:rPr>
          <w:rFonts w:hint="eastAsia" w:ascii="仿宋_GB2312" w:hAnsi="仿宋_GB2312" w:eastAsia="仿宋_GB2312" w:cs="仿宋_GB2312"/>
          <w:color w:val="auto"/>
          <w:kern w:val="2"/>
          <w:sz w:val="32"/>
          <w:szCs w:val="32"/>
          <w:lang w:val="en-US" w:eastAsia="zh-CN" w:bidi="ar-SA"/>
        </w:rPr>
        <w:t>万元，年末资产净值为</w:t>
      </w:r>
      <w:r>
        <w:rPr>
          <w:rFonts w:hint="eastAsia" w:ascii="仿宋_GB2312" w:hAnsi="仿宋_GB2312" w:cs="仿宋_GB2312"/>
          <w:color w:val="auto"/>
          <w:kern w:val="2"/>
          <w:sz w:val="32"/>
          <w:szCs w:val="32"/>
          <w:lang w:val="en-US" w:eastAsia="zh-CN" w:bidi="ar-SA"/>
        </w:rPr>
        <w:t>4292.28</w:t>
      </w:r>
      <w:r>
        <w:rPr>
          <w:rFonts w:hint="eastAsia" w:ascii="仿宋_GB2312" w:hAnsi="仿宋_GB2312" w:eastAsia="仿宋_GB2312" w:cs="仿宋_GB2312"/>
          <w:color w:val="auto"/>
          <w:kern w:val="2"/>
          <w:sz w:val="32"/>
          <w:szCs w:val="32"/>
          <w:lang w:val="en-US" w:eastAsia="zh-CN" w:bidi="ar-SA"/>
        </w:rPr>
        <w:t>万元</w:t>
      </w:r>
      <w:r>
        <w:rPr>
          <w:rFonts w:hint="eastAsia" w:ascii="仿宋_GB2312" w:hAnsi="仿宋_GB2312" w:cs="仿宋_GB2312"/>
          <w:color w:val="auto"/>
          <w:kern w:val="2"/>
          <w:sz w:val="32"/>
          <w:szCs w:val="32"/>
          <w:lang w:val="en-US" w:eastAsia="zh-CN" w:bidi="ar-SA"/>
        </w:rPr>
        <w:t>。</w:t>
      </w:r>
      <w:r>
        <w:rPr>
          <w:rFonts w:hint="eastAsia" w:ascii="仿宋_GB2312" w:hAnsi="仿宋_GB2312" w:eastAsia="仿宋_GB2312" w:cs="仿宋_GB2312"/>
          <w:color w:val="auto"/>
          <w:kern w:val="2"/>
          <w:sz w:val="32"/>
          <w:szCs w:val="32"/>
          <w:lang w:val="en-US" w:eastAsia="zh-CN" w:bidi="ar-SA"/>
        </w:rPr>
        <w:t>一是人均资产变化率严格按照资产管理制度执行，购买物资达到规定金额做入账登记，人均资产变化率</w:t>
      </w:r>
      <w:r>
        <w:rPr>
          <w:rFonts w:hint="eastAsia" w:ascii="仿宋_GB2312" w:hAnsi="仿宋_GB2312" w:cs="仿宋_GB2312"/>
          <w:color w:val="auto"/>
          <w:kern w:val="2"/>
          <w:sz w:val="32"/>
          <w:szCs w:val="32"/>
          <w:lang w:val="en-US" w:eastAsia="zh-CN" w:bidi="ar-SA"/>
        </w:rPr>
        <w:t>低</w:t>
      </w:r>
      <w:r>
        <w:rPr>
          <w:rFonts w:hint="eastAsia" w:ascii="仿宋_GB2312" w:hAnsi="仿宋_GB2312" w:eastAsia="仿宋_GB2312" w:cs="仿宋_GB2312"/>
          <w:color w:val="auto"/>
          <w:kern w:val="2"/>
          <w:sz w:val="32"/>
          <w:szCs w:val="32"/>
          <w:lang w:val="en-US" w:eastAsia="zh-CN" w:bidi="ar-SA"/>
        </w:rPr>
        <w:t>，自评得3 分；二是资产利用率高，使用率达100%,人均资产利用率较高</w:t>
      </w:r>
      <w:r>
        <w:rPr>
          <w:rFonts w:hint="eastAsia" w:ascii="仿宋_GB2312" w:hAnsi="仿宋_GB2312" w:cs="仿宋_GB2312"/>
          <w:color w:val="auto"/>
          <w:kern w:val="2"/>
          <w:sz w:val="32"/>
          <w:szCs w:val="32"/>
          <w:lang w:val="en-US" w:eastAsia="zh-CN" w:bidi="ar-SA"/>
        </w:rPr>
        <w:t>，</w:t>
      </w:r>
      <w:r>
        <w:rPr>
          <w:rFonts w:hint="eastAsia" w:ascii="仿宋_GB2312" w:hAnsi="仿宋_GB2312" w:eastAsia="仿宋_GB2312" w:cs="仿宋_GB2312"/>
          <w:color w:val="auto"/>
          <w:kern w:val="2"/>
          <w:sz w:val="32"/>
          <w:szCs w:val="32"/>
          <w:lang w:val="en-US" w:eastAsia="zh-CN" w:bidi="ar-SA"/>
        </w:rPr>
        <w:t>自评得3分。三是资产管理：资产盘活率较低，自评得2分。</w:t>
      </w:r>
    </w:p>
    <w:p w14:paraId="0E9D94F1">
      <w:pPr>
        <w:keepNext w:val="0"/>
        <w:keepLines w:val="0"/>
        <w:pageBreakBefore w:val="0"/>
        <w:widowControl w:val="0"/>
        <w:numPr>
          <w:ilvl w:val="0"/>
          <w:numId w:val="0"/>
        </w:numPr>
        <w:pBdr>
          <w:bottom w:val="single" w:color="FFFFFF" w:sz="4" w:space="23"/>
        </w:pBdr>
        <w:tabs>
          <w:tab w:val="left" w:pos="0"/>
        </w:tabs>
        <w:kinsoku/>
        <w:wordWrap/>
        <w:overflowPunct/>
        <w:topLinePunct w:val="0"/>
        <w:autoSpaceDE/>
        <w:autoSpaceDN/>
        <w:bidi w:val="0"/>
        <w:adjustRightInd w:val="0"/>
        <w:snapToGrid/>
        <w:spacing w:line="560" w:lineRule="exact"/>
        <w:ind w:firstLine="643" w:firstLineChars="200"/>
        <w:textAlignment w:val="auto"/>
        <w:outlineLvl w:val="9"/>
        <w:rPr>
          <w:rFonts w:hint="eastAsia" w:ascii="楷体_GB2312" w:hAnsi="楷体_GB2312" w:eastAsia="楷体_GB2312" w:cs="楷体_GB2312"/>
          <w:b/>
          <w:bCs/>
          <w:color w:val="auto"/>
          <w:kern w:val="0"/>
          <w:sz w:val="32"/>
          <w:szCs w:val="32"/>
          <w:highlight w:val="none"/>
          <w:shd w:val="clear" w:color="auto" w:fill="FFFFFF"/>
          <w:lang w:val="zh-CN"/>
        </w:rPr>
      </w:pPr>
      <w:r>
        <w:rPr>
          <w:rFonts w:hint="eastAsia" w:ascii="楷体_GB2312" w:hAnsi="楷体_GB2312" w:eastAsia="楷体_GB2312" w:cs="楷体_GB2312"/>
          <w:b/>
          <w:bCs/>
          <w:color w:val="auto"/>
          <w:kern w:val="0"/>
          <w:sz w:val="32"/>
          <w:szCs w:val="32"/>
          <w:highlight w:val="none"/>
          <w:shd w:val="clear" w:color="auto" w:fill="FFFFFF"/>
          <w:lang w:val="en-US" w:eastAsia="zh-CN"/>
        </w:rPr>
        <w:t>5.</w:t>
      </w:r>
      <w:r>
        <w:rPr>
          <w:rFonts w:hint="eastAsia" w:ascii="楷体_GB2312" w:hAnsi="楷体_GB2312" w:eastAsia="楷体_GB2312" w:cs="楷体_GB2312"/>
          <w:b/>
          <w:bCs/>
          <w:color w:val="auto"/>
          <w:kern w:val="0"/>
          <w:sz w:val="32"/>
          <w:szCs w:val="32"/>
          <w:highlight w:val="none"/>
          <w:shd w:val="clear" w:color="auto" w:fill="FFFFFF"/>
          <w:lang w:val="zh-CN"/>
        </w:rPr>
        <w:t>采购管理。</w:t>
      </w:r>
    </w:p>
    <w:p w14:paraId="1A208AEB">
      <w:pPr>
        <w:keepNext w:val="0"/>
        <w:keepLines w:val="0"/>
        <w:pageBreakBefore w:val="0"/>
        <w:widowControl w:val="0"/>
        <w:numPr>
          <w:ilvl w:val="0"/>
          <w:numId w:val="0"/>
        </w:numPr>
        <w:pBdr>
          <w:bottom w:val="single" w:color="FFFFFF" w:sz="4" w:space="23"/>
        </w:pBdr>
        <w:tabs>
          <w:tab w:val="left" w:pos="0"/>
        </w:tabs>
        <w:kinsoku/>
        <w:wordWrap/>
        <w:overflowPunct/>
        <w:topLinePunct w:val="0"/>
        <w:autoSpaceDE/>
        <w:autoSpaceDN/>
        <w:bidi w:val="0"/>
        <w:adjustRightInd w:val="0"/>
        <w:snapToGrid/>
        <w:spacing w:line="560" w:lineRule="exact"/>
        <w:ind w:firstLine="640" w:firstLineChars="200"/>
        <w:textAlignment w:val="auto"/>
        <w:outlineLvl w:val="9"/>
        <w:rPr>
          <w:rFonts w:hint="eastAsia" w:eastAsia="楷体_GB2312" w:cs="Times New Roman"/>
          <w:b/>
          <w:bCs/>
          <w:color w:val="FF0000"/>
          <w:kern w:val="0"/>
          <w:sz w:val="32"/>
          <w:szCs w:val="32"/>
          <w:highlight w:val="none"/>
          <w:shd w:val="clear" w:color="auto" w:fill="FFFFFF"/>
          <w:lang w:val="en-US" w:eastAsia="zh-CN"/>
        </w:rPr>
      </w:pPr>
      <w:r>
        <w:rPr>
          <w:rFonts w:hint="eastAsia" w:ascii="仿宋_GB2312" w:hAnsi="仿宋_GB2312" w:eastAsia="仿宋_GB2312" w:cs="仿宋_GB2312"/>
          <w:color w:val="auto"/>
          <w:kern w:val="2"/>
          <w:sz w:val="32"/>
          <w:szCs w:val="32"/>
          <w:lang w:val="en-US" w:eastAsia="zh-CN" w:bidi="ar-SA"/>
        </w:rPr>
        <w:t>一是支持中小企业发展。该项指标总分设置为3分。202</w:t>
      </w:r>
      <w:r>
        <w:rPr>
          <w:rFonts w:hint="eastAsia" w:ascii="仿宋_GB2312" w:hAnsi="仿宋_GB2312" w:cs="仿宋_GB2312"/>
          <w:color w:val="auto"/>
          <w:kern w:val="2"/>
          <w:sz w:val="32"/>
          <w:szCs w:val="32"/>
          <w:lang w:val="en-US" w:eastAsia="zh-CN" w:bidi="ar-SA"/>
        </w:rPr>
        <w:t>4</w:t>
      </w:r>
      <w:r>
        <w:rPr>
          <w:rFonts w:hint="eastAsia" w:ascii="仿宋_GB2312" w:hAnsi="仿宋_GB2312" w:eastAsia="仿宋_GB2312" w:cs="仿宋_GB2312"/>
          <w:color w:val="auto"/>
          <w:kern w:val="2"/>
          <w:sz w:val="32"/>
          <w:szCs w:val="32"/>
          <w:lang w:val="en-US" w:eastAsia="zh-CN" w:bidi="ar-SA"/>
        </w:rPr>
        <w:t>年黑水县林草局政府采购项目严格执行政府采购促 进中小企业发展相关管理办法，采购项目全部面向中小企业进行招投标，促进了中小企业的发展。自评得3分。二是采购执行率。该项指标反映部门政府采购项目资金支付比例情况，总分设置为3分。202</w:t>
      </w:r>
      <w:r>
        <w:rPr>
          <w:rFonts w:hint="eastAsia" w:ascii="仿宋_GB2312" w:hAnsi="仿宋_GB2312" w:cs="仿宋_GB2312"/>
          <w:color w:val="auto"/>
          <w:kern w:val="2"/>
          <w:sz w:val="32"/>
          <w:szCs w:val="32"/>
          <w:lang w:val="en-US" w:eastAsia="zh-CN" w:bidi="ar-SA"/>
        </w:rPr>
        <w:t>4</w:t>
      </w:r>
      <w:r>
        <w:rPr>
          <w:rFonts w:hint="eastAsia" w:ascii="仿宋_GB2312" w:hAnsi="仿宋_GB2312" w:eastAsia="仿宋_GB2312" w:cs="仿宋_GB2312"/>
          <w:color w:val="auto"/>
          <w:kern w:val="2"/>
          <w:sz w:val="32"/>
          <w:szCs w:val="32"/>
          <w:lang w:val="en-US" w:eastAsia="zh-CN" w:bidi="ar-SA"/>
        </w:rPr>
        <w:t>年黑水县林草局当年政府采购项目</w:t>
      </w:r>
      <w:r>
        <w:rPr>
          <w:rFonts w:hint="eastAsia" w:ascii="仿宋_GB2312" w:hAnsi="仿宋_GB2312" w:cs="仿宋_GB2312"/>
          <w:color w:val="auto"/>
          <w:kern w:val="2"/>
          <w:sz w:val="32"/>
          <w:szCs w:val="32"/>
          <w:lang w:val="en-US" w:eastAsia="zh-CN" w:bidi="ar-SA"/>
        </w:rPr>
        <w:t>13</w:t>
      </w:r>
      <w:r>
        <w:rPr>
          <w:rFonts w:hint="eastAsia" w:ascii="仿宋_GB2312" w:hAnsi="仿宋_GB2312" w:eastAsia="仿宋_GB2312" w:cs="仿宋_GB2312"/>
          <w:color w:val="auto"/>
          <w:kern w:val="2"/>
          <w:sz w:val="32"/>
          <w:szCs w:val="32"/>
          <w:lang w:val="en-US" w:eastAsia="zh-CN" w:bidi="ar-SA"/>
        </w:rPr>
        <w:t>个，预算金额</w:t>
      </w:r>
      <w:r>
        <w:rPr>
          <w:rFonts w:hint="eastAsia" w:ascii="仿宋_GB2312" w:hAnsi="仿宋_GB2312" w:cs="仿宋_GB2312"/>
          <w:color w:val="auto"/>
          <w:kern w:val="2"/>
          <w:sz w:val="32"/>
          <w:szCs w:val="32"/>
          <w:lang w:val="en-US" w:eastAsia="zh-CN" w:bidi="ar-SA"/>
        </w:rPr>
        <w:t>1432.07</w:t>
      </w:r>
      <w:r>
        <w:rPr>
          <w:rFonts w:hint="eastAsia" w:ascii="仿宋_GB2312" w:hAnsi="仿宋_GB2312" w:eastAsia="仿宋_GB2312" w:cs="仿宋_GB2312"/>
          <w:color w:val="auto"/>
          <w:kern w:val="2"/>
          <w:sz w:val="32"/>
          <w:szCs w:val="32"/>
          <w:lang w:val="en-US" w:eastAsia="zh-CN" w:bidi="ar-SA"/>
        </w:rPr>
        <w:t>万元，签订合同总金额为</w:t>
      </w:r>
      <w:r>
        <w:rPr>
          <w:rFonts w:hint="eastAsia" w:ascii="仿宋_GB2312" w:hAnsi="仿宋_GB2312" w:cs="仿宋_GB2312"/>
          <w:color w:val="auto"/>
          <w:kern w:val="2"/>
          <w:sz w:val="32"/>
          <w:szCs w:val="32"/>
          <w:lang w:val="en-US" w:eastAsia="zh-CN" w:bidi="ar-SA"/>
        </w:rPr>
        <w:t>1432.07</w:t>
      </w:r>
      <w:r>
        <w:rPr>
          <w:rFonts w:hint="eastAsia" w:ascii="仿宋_GB2312" w:hAnsi="仿宋_GB2312" w:eastAsia="仿宋_GB2312" w:cs="仿宋_GB2312"/>
          <w:color w:val="auto"/>
          <w:kern w:val="2"/>
          <w:sz w:val="32"/>
          <w:szCs w:val="32"/>
          <w:lang w:val="en-US" w:eastAsia="zh-CN" w:bidi="ar-SA"/>
        </w:rPr>
        <w:t>万元。自评得分为3分。</w:t>
      </w:r>
      <w:r>
        <w:rPr>
          <w:rFonts w:hint="eastAsia" w:ascii="仿宋_GB2312" w:hAnsi="仿宋_GB2312" w:cs="仿宋_GB2312"/>
          <w:color w:val="FF0000"/>
          <w:kern w:val="2"/>
          <w:sz w:val="32"/>
          <w:szCs w:val="32"/>
          <w:lang w:val="en-US" w:eastAsia="zh-CN" w:bidi="ar-SA"/>
        </w:rPr>
        <w:t xml:space="preserve">             </w:t>
      </w:r>
      <w:r>
        <w:rPr>
          <w:rFonts w:hint="eastAsia" w:eastAsia="楷体_GB2312" w:cs="Times New Roman"/>
          <w:b/>
          <w:bCs/>
          <w:color w:val="FF0000"/>
          <w:kern w:val="0"/>
          <w:sz w:val="32"/>
          <w:szCs w:val="32"/>
          <w:highlight w:val="none"/>
          <w:shd w:val="clear" w:color="auto" w:fill="FFFFFF"/>
          <w:lang w:val="en-US" w:eastAsia="zh-CN"/>
        </w:rPr>
        <w:t xml:space="preserve">                  </w:t>
      </w:r>
    </w:p>
    <w:p w14:paraId="1C3BC3F3">
      <w:pPr>
        <w:keepNext w:val="0"/>
        <w:keepLines w:val="0"/>
        <w:pageBreakBefore w:val="0"/>
        <w:widowControl w:val="0"/>
        <w:numPr>
          <w:ilvl w:val="0"/>
          <w:numId w:val="0"/>
        </w:numPr>
        <w:pBdr>
          <w:bottom w:val="single" w:color="FFFFFF" w:sz="4" w:space="23"/>
        </w:pBdr>
        <w:tabs>
          <w:tab w:val="left" w:pos="0"/>
        </w:tabs>
        <w:kinsoku/>
        <w:wordWrap/>
        <w:overflowPunct/>
        <w:topLinePunct w:val="0"/>
        <w:autoSpaceDE/>
        <w:autoSpaceDN/>
        <w:bidi w:val="0"/>
        <w:adjustRightInd w:val="0"/>
        <w:snapToGrid/>
        <w:spacing w:line="560" w:lineRule="exact"/>
        <w:ind w:firstLine="643" w:firstLineChars="200"/>
        <w:textAlignment w:val="auto"/>
        <w:outlineLvl w:val="9"/>
        <w:rPr>
          <w:rFonts w:hint="eastAsia" w:cs="Times New Roman"/>
          <w:color w:val="auto"/>
          <w:kern w:val="0"/>
          <w:sz w:val="32"/>
          <w:szCs w:val="32"/>
          <w:highlight w:val="none"/>
          <w:shd w:val="clear" w:color="auto" w:fill="FFFFFF"/>
          <w:lang w:val="en-US" w:eastAsia="zh-CN"/>
        </w:rPr>
      </w:pPr>
      <w:r>
        <w:rPr>
          <w:rFonts w:hint="eastAsia" w:eastAsia="楷体_GB2312" w:cs="Times New Roman"/>
          <w:b/>
          <w:bCs/>
          <w:color w:val="auto"/>
          <w:kern w:val="0"/>
          <w:sz w:val="32"/>
          <w:szCs w:val="32"/>
          <w:highlight w:val="none"/>
          <w:shd w:val="clear" w:color="auto" w:fill="FFFFFF"/>
          <w:lang w:val="zh-CN"/>
        </w:rPr>
        <w:t>（二）</w:t>
      </w:r>
      <w:r>
        <w:rPr>
          <w:rFonts w:hint="default" w:ascii="Times New Roman" w:hAnsi="Times New Roman" w:eastAsia="楷体_GB2312" w:cs="Times New Roman"/>
          <w:b/>
          <w:bCs/>
          <w:color w:val="auto"/>
          <w:kern w:val="0"/>
          <w:sz w:val="32"/>
          <w:szCs w:val="32"/>
          <w:highlight w:val="none"/>
          <w:shd w:val="clear" w:color="auto" w:fill="FFFFFF"/>
          <w:lang w:val="zh-CN"/>
        </w:rPr>
        <w:t>部门预算项目绩效分析。</w:t>
      </w:r>
    </w:p>
    <w:p w14:paraId="62E40EF3">
      <w:pPr>
        <w:keepNext w:val="0"/>
        <w:keepLines w:val="0"/>
        <w:pageBreakBefore w:val="0"/>
        <w:widowControl w:val="0"/>
        <w:numPr>
          <w:ilvl w:val="0"/>
          <w:numId w:val="0"/>
        </w:numPr>
        <w:pBdr>
          <w:bottom w:val="single" w:color="FFFFFF" w:sz="4" w:space="23"/>
        </w:pBdr>
        <w:tabs>
          <w:tab w:val="left" w:pos="0"/>
        </w:tabs>
        <w:kinsoku/>
        <w:wordWrap/>
        <w:overflowPunct/>
        <w:topLinePunct w:val="0"/>
        <w:autoSpaceDE/>
        <w:autoSpaceDN/>
        <w:bidi w:val="0"/>
        <w:adjustRightInd w:val="0"/>
        <w:snapToGrid/>
        <w:spacing w:line="560" w:lineRule="exact"/>
        <w:ind w:firstLine="640" w:firstLineChars="200"/>
        <w:textAlignment w:val="auto"/>
        <w:outlineLvl w:val="9"/>
        <w:rPr>
          <w:rFonts w:hint="default" w:ascii="仿宋_GB2312" w:hAnsi="仿宋_GB2312" w:eastAsia="仿宋_GB2312" w:cs="仿宋_GB2312"/>
          <w:color w:val="auto"/>
          <w:kern w:val="2"/>
          <w:sz w:val="32"/>
          <w:szCs w:val="32"/>
          <w:lang w:val="zh-CN" w:eastAsia="zh-CN" w:bidi="ar-SA"/>
        </w:rPr>
      </w:pPr>
      <w:r>
        <w:rPr>
          <w:rFonts w:hint="default" w:ascii="仿宋_GB2312" w:hAnsi="仿宋_GB2312" w:eastAsia="仿宋_GB2312" w:cs="仿宋_GB2312"/>
          <w:color w:val="auto"/>
          <w:kern w:val="2"/>
          <w:sz w:val="32"/>
          <w:szCs w:val="32"/>
          <w:lang w:val="en-US" w:eastAsia="zh-CN" w:bidi="ar-SA"/>
        </w:rPr>
        <w:t>常年项目绩效分析。</w:t>
      </w:r>
      <w:r>
        <w:rPr>
          <w:rFonts w:hint="default" w:ascii="仿宋_GB2312" w:hAnsi="仿宋_GB2312" w:eastAsia="仿宋_GB2312" w:cs="仿宋_GB2312"/>
          <w:color w:val="auto"/>
          <w:kern w:val="2"/>
          <w:sz w:val="32"/>
          <w:szCs w:val="32"/>
          <w:lang w:val="zh-CN" w:eastAsia="zh-CN" w:bidi="ar-SA"/>
        </w:rPr>
        <w:t>该类项目总数</w:t>
      </w:r>
      <w:r>
        <w:rPr>
          <w:rFonts w:hint="eastAsia" w:ascii="仿宋_GB2312" w:hAnsi="仿宋_GB2312" w:cs="仿宋_GB2312"/>
          <w:color w:val="auto"/>
          <w:kern w:val="2"/>
          <w:sz w:val="32"/>
          <w:szCs w:val="32"/>
          <w:lang w:val="en-US" w:eastAsia="zh-CN" w:bidi="ar-SA"/>
        </w:rPr>
        <w:t>15</w:t>
      </w:r>
      <w:r>
        <w:rPr>
          <w:rFonts w:hint="default" w:ascii="仿宋_GB2312" w:hAnsi="仿宋_GB2312" w:eastAsia="仿宋_GB2312" w:cs="仿宋_GB2312"/>
          <w:color w:val="auto"/>
          <w:kern w:val="2"/>
          <w:sz w:val="32"/>
          <w:szCs w:val="32"/>
          <w:lang w:val="zh-CN" w:eastAsia="zh-CN" w:bidi="ar-SA"/>
        </w:rPr>
        <w:t>个，涉及预算总金额</w:t>
      </w:r>
      <w:r>
        <w:rPr>
          <w:rFonts w:hint="eastAsia" w:ascii="仿宋_GB2312" w:hAnsi="仿宋_GB2312" w:cs="仿宋_GB2312"/>
          <w:color w:val="auto"/>
          <w:kern w:val="2"/>
          <w:sz w:val="32"/>
          <w:szCs w:val="32"/>
          <w:lang w:val="en-US" w:eastAsia="zh-CN" w:bidi="ar-SA"/>
        </w:rPr>
        <w:t>2292.25</w:t>
      </w:r>
      <w:r>
        <w:rPr>
          <w:rFonts w:hint="default" w:ascii="仿宋_GB2312" w:hAnsi="仿宋_GB2312" w:eastAsia="仿宋_GB2312" w:cs="仿宋_GB2312"/>
          <w:color w:val="auto"/>
          <w:kern w:val="2"/>
          <w:sz w:val="32"/>
          <w:szCs w:val="32"/>
          <w:lang w:val="zh-CN" w:eastAsia="zh-CN" w:bidi="ar-SA"/>
        </w:rPr>
        <w:t>万元，1</w:t>
      </w:r>
      <w:r>
        <w:rPr>
          <w:rFonts w:hint="eastAsia" w:ascii="仿宋_GB2312" w:hAnsi="仿宋_GB2312" w:eastAsia="仿宋_GB2312" w:cs="仿宋_GB2312"/>
          <w:color w:val="auto"/>
          <w:kern w:val="2"/>
          <w:sz w:val="32"/>
          <w:szCs w:val="32"/>
          <w:lang w:val="zh-CN" w:eastAsia="zh-CN" w:bidi="ar-SA"/>
        </w:rPr>
        <w:t>—</w:t>
      </w:r>
      <w:r>
        <w:rPr>
          <w:rFonts w:hint="default" w:ascii="仿宋_GB2312" w:hAnsi="仿宋_GB2312" w:eastAsia="仿宋_GB2312" w:cs="仿宋_GB2312"/>
          <w:color w:val="auto"/>
          <w:kern w:val="2"/>
          <w:sz w:val="32"/>
          <w:szCs w:val="32"/>
          <w:lang w:val="zh-CN" w:eastAsia="zh-CN" w:bidi="ar-SA"/>
        </w:rPr>
        <w:t>1</w:t>
      </w:r>
      <w:r>
        <w:rPr>
          <w:rFonts w:hint="default" w:ascii="仿宋_GB2312" w:hAnsi="仿宋_GB2312" w:eastAsia="仿宋_GB2312" w:cs="仿宋_GB2312"/>
          <w:color w:val="auto"/>
          <w:kern w:val="2"/>
          <w:sz w:val="32"/>
          <w:szCs w:val="32"/>
          <w:lang w:val="en-US" w:eastAsia="zh-CN" w:bidi="ar-SA"/>
        </w:rPr>
        <w:t>2</w:t>
      </w:r>
      <w:r>
        <w:rPr>
          <w:rFonts w:hint="default" w:ascii="仿宋_GB2312" w:hAnsi="仿宋_GB2312" w:eastAsia="仿宋_GB2312" w:cs="仿宋_GB2312"/>
          <w:color w:val="auto"/>
          <w:kern w:val="2"/>
          <w:sz w:val="32"/>
          <w:szCs w:val="32"/>
          <w:lang w:val="zh-CN" w:eastAsia="zh-CN" w:bidi="ar-SA"/>
        </w:rPr>
        <w:t>月预算执行总体进度为</w:t>
      </w:r>
      <w:r>
        <w:rPr>
          <w:rFonts w:hint="eastAsia" w:ascii="仿宋_GB2312" w:hAnsi="仿宋_GB2312" w:cs="仿宋_GB2312"/>
          <w:color w:val="auto"/>
          <w:kern w:val="2"/>
          <w:sz w:val="32"/>
          <w:szCs w:val="32"/>
          <w:lang w:val="en-US" w:eastAsia="zh-CN" w:bidi="ar-SA"/>
        </w:rPr>
        <w:t>77.23</w:t>
      </w:r>
      <w:r>
        <w:rPr>
          <w:rFonts w:hint="default" w:ascii="仿宋_GB2312" w:hAnsi="仿宋_GB2312" w:eastAsia="仿宋_GB2312" w:cs="仿宋_GB2312"/>
          <w:color w:val="auto"/>
          <w:kern w:val="2"/>
          <w:sz w:val="32"/>
          <w:szCs w:val="32"/>
          <w:lang w:val="zh-CN" w:eastAsia="zh-CN" w:bidi="ar-SA"/>
        </w:rPr>
        <w:t>%，其中：预算结余率大于</w:t>
      </w:r>
      <w:r>
        <w:rPr>
          <w:rFonts w:hint="default" w:ascii="仿宋_GB2312" w:hAnsi="仿宋_GB2312" w:eastAsia="仿宋_GB2312" w:cs="仿宋_GB2312"/>
          <w:color w:val="auto"/>
          <w:kern w:val="2"/>
          <w:sz w:val="32"/>
          <w:szCs w:val="32"/>
          <w:lang w:val="en-US" w:eastAsia="zh-CN" w:bidi="ar-SA"/>
        </w:rPr>
        <w:t>10%</w:t>
      </w:r>
      <w:r>
        <w:rPr>
          <w:rFonts w:hint="default" w:ascii="仿宋_GB2312" w:hAnsi="仿宋_GB2312" w:eastAsia="仿宋_GB2312" w:cs="仿宋_GB2312"/>
          <w:color w:val="auto"/>
          <w:kern w:val="2"/>
          <w:sz w:val="32"/>
          <w:szCs w:val="32"/>
          <w:lang w:val="zh-CN" w:eastAsia="zh-CN" w:bidi="ar-SA"/>
        </w:rPr>
        <w:t>的项目共计</w:t>
      </w:r>
      <w:r>
        <w:rPr>
          <w:rFonts w:hint="eastAsia" w:ascii="仿宋_GB2312" w:hAnsi="仿宋_GB2312" w:cs="仿宋_GB2312"/>
          <w:color w:val="auto"/>
          <w:kern w:val="2"/>
          <w:sz w:val="32"/>
          <w:szCs w:val="32"/>
          <w:lang w:val="en-US" w:eastAsia="zh-CN" w:bidi="ar-SA"/>
        </w:rPr>
        <w:t>2</w:t>
      </w:r>
      <w:r>
        <w:rPr>
          <w:rFonts w:hint="default" w:ascii="仿宋_GB2312" w:hAnsi="仿宋_GB2312" w:eastAsia="仿宋_GB2312" w:cs="仿宋_GB2312"/>
          <w:color w:val="auto"/>
          <w:kern w:val="2"/>
          <w:sz w:val="32"/>
          <w:szCs w:val="32"/>
          <w:lang w:val="zh-CN" w:eastAsia="zh-CN" w:bidi="ar-SA"/>
        </w:rPr>
        <w:t>个。</w:t>
      </w:r>
    </w:p>
    <w:p w14:paraId="2D5AFD66">
      <w:pPr>
        <w:keepNext w:val="0"/>
        <w:keepLines w:val="0"/>
        <w:pageBreakBefore w:val="0"/>
        <w:widowControl w:val="0"/>
        <w:numPr>
          <w:ilvl w:val="0"/>
          <w:numId w:val="0"/>
        </w:numPr>
        <w:pBdr>
          <w:bottom w:val="single" w:color="FFFFFF" w:sz="4" w:space="23"/>
        </w:pBdr>
        <w:tabs>
          <w:tab w:val="left" w:pos="0"/>
        </w:tabs>
        <w:kinsoku/>
        <w:wordWrap/>
        <w:overflowPunct/>
        <w:topLinePunct w:val="0"/>
        <w:autoSpaceDE/>
        <w:autoSpaceDN/>
        <w:bidi w:val="0"/>
        <w:adjustRightInd w:val="0"/>
        <w:snapToGrid/>
        <w:spacing w:line="560" w:lineRule="exact"/>
        <w:ind w:firstLine="640" w:firstLineChars="200"/>
        <w:textAlignment w:val="auto"/>
        <w:outlineLvl w:val="9"/>
        <w:rPr>
          <w:rFonts w:hint="default" w:ascii="仿宋_GB2312" w:hAnsi="仿宋_GB2312" w:eastAsia="仿宋_GB2312" w:cs="仿宋_GB2312"/>
          <w:color w:val="auto"/>
          <w:kern w:val="2"/>
          <w:sz w:val="32"/>
          <w:szCs w:val="32"/>
          <w:lang w:val="zh-CN" w:eastAsia="zh-CN" w:bidi="ar-SA"/>
        </w:rPr>
      </w:pPr>
      <w:r>
        <w:rPr>
          <w:rFonts w:hint="default" w:ascii="仿宋_GB2312" w:hAnsi="仿宋_GB2312" w:eastAsia="仿宋_GB2312" w:cs="仿宋_GB2312"/>
          <w:color w:val="auto"/>
          <w:kern w:val="2"/>
          <w:sz w:val="32"/>
          <w:szCs w:val="32"/>
          <w:lang w:val="en-US" w:eastAsia="zh-CN" w:bidi="ar-SA"/>
        </w:rPr>
        <w:t>阶段（</w:t>
      </w:r>
      <w:r>
        <w:rPr>
          <w:rFonts w:hint="eastAsia" w:ascii="仿宋_GB2312" w:hAnsi="仿宋_GB2312" w:eastAsia="仿宋_GB2312" w:cs="仿宋_GB2312"/>
          <w:color w:val="auto"/>
          <w:kern w:val="2"/>
          <w:sz w:val="32"/>
          <w:szCs w:val="32"/>
          <w:lang w:val="en-US" w:eastAsia="zh-CN" w:bidi="ar-SA"/>
        </w:rPr>
        <w:t>含</w:t>
      </w:r>
      <w:r>
        <w:rPr>
          <w:rFonts w:hint="default" w:ascii="仿宋_GB2312" w:hAnsi="仿宋_GB2312" w:eastAsia="仿宋_GB2312" w:cs="仿宋_GB2312"/>
          <w:color w:val="auto"/>
          <w:kern w:val="2"/>
          <w:sz w:val="32"/>
          <w:szCs w:val="32"/>
          <w:lang w:val="en-US" w:eastAsia="zh-CN" w:bidi="ar-SA"/>
        </w:rPr>
        <w:t>一次性）项目绩效分析。</w:t>
      </w:r>
      <w:r>
        <w:rPr>
          <w:rFonts w:hint="default" w:ascii="仿宋_GB2312" w:hAnsi="仿宋_GB2312" w:eastAsia="仿宋_GB2312" w:cs="仿宋_GB2312"/>
          <w:color w:val="auto"/>
          <w:kern w:val="2"/>
          <w:sz w:val="32"/>
          <w:szCs w:val="32"/>
          <w:lang w:val="zh-CN" w:eastAsia="zh-CN" w:bidi="ar-SA"/>
        </w:rPr>
        <w:t>该类项目总数</w:t>
      </w:r>
      <w:r>
        <w:rPr>
          <w:rFonts w:hint="eastAsia" w:ascii="仿宋_GB2312" w:hAnsi="仿宋_GB2312" w:cs="仿宋_GB2312"/>
          <w:color w:val="auto"/>
          <w:kern w:val="2"/>
          <w:sz w:val="32"/>
          <w:szCs w:val="32"/>
          <w:lang w:val="en-US" w:eastAsia="zh-CN" w:bidi="ar-SA"/>
        </w:rPr>
        <w:t>21</w:t>
      </w:r>
      <w:r>
        <w:rPr>
          <w:rFonts w:hint="default" w:ascii="仿宋_GB2312" w:hAnsi="仿宋_GB2312" w:eastAsia="仿宋_GB2312" w:cs="仿宋_GB2312"/>
          <w:color w:val="auto"/>
          <w:kern w:val="2"/>
          <w:sz w:val="32"/>
          <w:szCs w:val="32"/>
          <w:lang w:val="zh-CN" w:eastAsia="zh-CN" w:bidi="ar-SA"/>
        </w:rPr>
        <w:t>个，涉及预算总金额</w:t>
      </w:r>
      <w:r>
        <w:rPr>
          <w:rFonts w:hint="eastAsia" w:ascii="仿宋_GB2312" w:hAnsi="仿宋_GB2312" w:cs="仿宋_GB2312"/>
          <w:color w:val="auto"/>
          <w:kern w:val="2"/>
          <w:sz w:val="32"/>
          <w:szCs w:val="32"/>
          <w:lang w:val="en-US" w:eastAsia="zh-CN" w:bidi="ar-SA"/>
        </w:rPr>
        <w:t>2365.65</w:t>
      </w:r>
      <w:r>
        <w:rPr>
          <w:rFonts w:hint="default" w:ascii="仿宋_GB2312" w:hAnsi="仿宋_GB2312" w:eastAsia="仿宋_GB2312" w:cs="仿宋_GB2312"/>
          <w:color w:val="auto"/>
          <w:kern w:val="2"/>
          <w:sz w:val="32"/>
          <w:szCs w:val="32"/>
          <w:lang w:val="zh-CN" w:eastAsia="zh-CN" w:bidi="ar-SA"/>
        </w:rPr>
        <w:t>万元，1</w:t>
      </w:r>
      <w:r>
        <w:rPr>
          <w:rFonts w:hint="eastAsia" w:ascii="仿宋_GB2312" w:hAnsi="仿宋_GB2312" w:eastAsia="仿宋_GB2312" w:cs="仿宋_GB2312"/>
          <w:color w:val="auto"/>
          <w:kern w:val="2"/>
          <w:sz w:val="32"/>
          <w:szCs w:val="32"/>
          <w:lang w:val="zh-CN" w:eastAsia="zh-CN" w:bidi="ar-SA"/>
        </w:rPr>
        <w:t>—</w:t>
      </w:r>
      <w:r>
        <w:rPr>
          <w:rFonts w:hint="default" w:ascii="仿宋_GB2312" w:hAnsi="仿宋_GB2312" w:eastAsia="仿宋_GB2312" w:cs="仿宋_GB2312"/>
          <w:color w:val="auto"/>
          <w:kern w:val="2"/>
          <w:sz w:val="32"/>
          <w:szCs w:val="32"/>
          <w:lang w:val="zh-CN" w:eastAsia="zh-CN" w:bidi="ar-SA"/>
        </w:rPr>
        <w:t>1</w:t>
      </w:r>
      <w:r>
        <w:rPr>
          <w:rFonts w:hint="default" w:ascii="仿宋_GB2312" w:hAnsi="仿宋_GB2312" w:eastAsia="仿宋_GB2312" w:cs="仿宋_GB2312"/>
          <w:color w:val="auto"/>
          <w:kern w:val="2"/>
          <w:sz w:val="32"/>
          <w:szCs w:val="32"/>
          <w:lang w:val="en-US" w:eastAsia="zh-CN" w:bidi="ar-SA"/>
        </w:rPr>
        <w:t>2</w:t>
      </w:r>
      <w:r>
        <w:rPr>
          <w:rFonts w:hint="default" w:ascii="仿宋_GB2312" w:hAnsi="仿宋_GB2312" w:eastAsia="仿宋_GB2312" w:cs="仿宋_GB2312"/>
          <w:color w:val="auto"/>
          <w:kern w:val="2"/>
          <w:sz w:val="32"/>
          <w:szCs w:val="32"/>
          <w:lang w:val="zh-CN" w:eastAsia="zh-CN" w:bidi="ar-SA"/>
        </w:rPr>
        <w:t>月预算执行总体进度为</w:t>
      </w:r>
      <w:r>
        <w:rPr>
          <w:rFonts w:hint="eastAsia" w:ascii="仿宋_GB2312" w:hAnsi="仿宋_GB2312" w:cs="仿宋_GB2312"/>
          <w:color w:val="auto"/>
          <w:kern w:val="2"/>
          <w:sz w:val="32"/>
          <w:szCs w:val="32"/>
          <w:lang w:val="en-US" w:eastAsia="zh-CN" w:bidi="ar-SA"/>
        </w:rPr>
        <w:t>100</w:t>
      </w:r>
      <w:r>
        <w:rPr>
          <w:rFonts w:hint="default" w:ascii="仿宋_GB2312" w:hAnsi="仿宋_GB2312" w:eastAsia="仿宋_GB2312" w:cs="仿宋_GB2312"/>
          <w:color w:val="auto"/>
          <w:kern w:val="2"/>
          <w:sz w:val="32"/>
          <w:szCs w:val="32"/>
          <w:lang w:val="zh-CN" w:eastAsia="zh-CN" w:bidi="ar-SA"/>
        </w:rPr>
        <w:t>%，其中：预算结余率大于</w:t>
      </w:r>
      <w:r>
        <w:rPr>
          <w:rFonts w:hint="default" w:ascii="仿宋_GB2312" w:hAnsi="仿宋_GB2312" w:eastAsia="仿宋_GB2312" w:cs="仿宋_GB2312"/>
          <w:color w:val="auto"/>
          <w:kern w:val="2"/>
          <w:sz w:val="32"/>
          <w:szCs w:val="32"/>
          <w:lang w:val="en-US" w:eastAsia="zh-CN" w:bidi="ar-SA"/>
        </w:rPr>
        <w:t>10%</w:t>
      </w:r>
      <w:r>
        <w:rPr>
          <w:rFonts w:hint="default" w:ascii="仿宋_GB2312" w:hAnsi="仿宋_GB2312" w:eastAsia="仿宋_GB2312" w:cs="仿宋_GB2312"/>
          <w:color w:val="auto"/>
          <w:kern w:val="2"/>
          <w:sz w:val="32"/>
          <w:szCs w:val="32"/>
          <w:lang w:val="zh-CN" w:eastAsia="zh-CN" w:bidi="ar-SA"/>
        </w:rPr>
        <w:t>的项目共计</w:t>
      </w:r>
      <w:r>
        <w:rPr>
          <w:rFonts w:hint="eastAsia" w:ascii="仿宋_GB2312" w:hAnsi="仿宋_GB2312" w:cs="仿宋_GB2312"/>
          <w:color w:val="auto"/>
          <w:kern w:val="2"/>
          <w:sz w:val="32"/>
          <w:szCs w:val="32"/>
          <w:lang w:val="en-US" w:eastAsia="zh-CN" w:bidi="ar-SA"/>
        </w:rPr>
        <w:t>0</w:t>
      </w:r>
      <w:r>
        <w:rPr>
          <w:rFonts w:hint="default" w:ascii="仿宋_GB2312" w:hAnsi="仿宋_GB2312" w:eastAsia="仿宋_GB2312" w:cs="仿宋_GB2312"/>
          <w:color w:val="auto"/>
          <w:kern w:val="2"/>
          <w:sz w:val="32"/>
          <w:szCs w:val="32"/>
          <w:lang w:val="zh-CN" w:eastAsia="zh-CN" w:bidi="ar-SA"/>
        </w:rPr>
        <w:t>个。</w:t>
      </w:r>
    </w:p>
    <w:p w14:paraId="72484986">
      <w:pPr>
        <w:keepNext w:val="0"/>
        <w:keepLines w:val="0"/>
        <w:pageBreakBefore w:val="0"/>
        <w:widowControl w:val="0"/>
        <w:numPr>
          <w:ilvl w:val="0"/>
          <w:numId w:val="0"/>
        </w:numPr>
        <w:pBdr>
          <w:bottom w:val="single" w:color="FFFFFF" w:sz="4" w:space="23"/>
        </w:pBdr>
        <w:tabs>
          <w:tab w:val="left" w:pos="0"/>
        </w:tabs>
        <w:kinsoku/>
        <w:wordWrap/>
        <w:overflowPunct/>
        <w:topLinePunct w:val="0"/>
        <w:autoSpaceDE/>
        <w:autoSpaceDN/>
        <w:bidi w:val="0"/>
        <w:adjustRightInd w:val="0"/>
        <w:snapToGrid/>
        <w:spacing w:line="560" w:lineRule="exact"/>
        <w:ind w:firstLine="640" w:firstLineChars="200"/>
        <w:textAlignment w:val="auto"/>
        <w:outlineLvl w:val="9"/>
        <w:rPr>
          <w:rFonts w:hint="default" w:ascii="仿宋_GB2312" w:hAnsi="仿宋_GB2312" w:eastAsia="仿宋_GB2312" w:cs="仿宋_GB2312"/>
          <w:color w:val="auto"/>
          <w:kern w:val="2"/>
          <w:sz w:val="32"/>
          <w:szCs w:val="32"/>
          <w:lang w:val="zh-CN" w:eastAsia="zh-CN" w:bidi="ar-SA"/>
        </w:rPr>
      </w:pPr>
      <w:r>
        <w:rPr>
          <w:rFonts w:hint="eastAsia" w:ascii="仿宋_GB2312" w:hAnsi="仿宋_GB2312" w:eastAsia="仿宋_GB2312" w:cs="仿宋_GB2312"/>
          <w:color w:val="auto"/>
          <w:kern w:val="2"/>
          <w:sz w:val="32"/>
          <w:szCs w:val="32"/>
          <w:lang w:val="en-US" w:eastAsia="zh-CN" w:bidi="ar-SA"/>
        </w:rPr>
        <w:t>1.</w:t>
      </w:r>
      <w:r>
        <w:rPr>
          <w:rFonts w:hint="default" w:ascii="仿宋_GB2312" w:hAnsi="仿宋_GB2312" w:eastAsia="仿宋_GB2312" w:cs="仿宋_GB2312"/>
          <w:color w:val="auto"/>
          <w:kern w:val="2"/>
          <w:sz w:val="32"/>
          <w:szCs w:val="32"/>
          <w:lang w:val="zh-CN" w:eastAsia="zh-CN" w:bidi="ar-SA"/>
        </w:rPr>
        <w:t>项目决策。围绕决策程序、目标设置、项目入库进行绩效分析。</w:t>
      </w:r>
    </w:p>
    <w:p w14:paraId="04040E81">
      <w:pPr>
        <w:keepNext w:val="0"/>
        <w:keepLines w:val="0"/>
        <w:pageBreakBefore w:val="0"/>
        <w:widowControl w:val="0"/>
        <w:numPr>
          <w:ilvl w:val="0"/>
          <w:numId w:val="0"/>
        </w:numPr>
        <w:pBdr>
          <w:bottom w:val="single" w:color="FFFFFF" w:sz="4" w:space="23"/>
        </w:pBdr>
        <w:tabs>
          <w:tab w:val="left" w:pos="0"/>
        </w:tabs>
        <w:kinsoku/>
        <w:wordWrap/>
        <w:overflowPunct/>
        <w:topLinePunct w:val="0"/>
        <w:autoSpaceDE/>
        <w:autoSpaceDN/>
        <w:bidi w:val="0"/>
        <w:adjustRightInd w:val="0"/>
        <w:snapToGrid/>
        <w:spacing w:line="560" w:lineRule="exact"/>
        <w:ind w:firstLine="640" w:firstLineChars="200"/>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（1）决策程序。（满分4分，自评得分4分）</w:t>
      </w:r>
    </w:p>
    <w:p w14:paraId="6E26BC72">
      <w:pPr>
        <w:keepNext w:val="0"/>
        <w:keepLines w:val="0"/>
        <w:pageBreakBefore w:val="0"/>
        <w:widowControl w:val="0"/>
        <w:numPr>
          <w:ilvl w:val="0"/>
          <w:numId w:val="0"/>
        </w:numPr>
        <w:pBdr>
          <w:bottom w:val="single" w:color="FFFFFF" w:sz="4" w:space="23"/>
        </w:pBdr>
        <w:tabs>
          <w:tab w:val="left" w:pos="0"/>
        </w:tabs>
        <w:kinsoku/>
        <w:wordWrap/>
        <w:overflowPunct/>
        <w:topLinePunct w:val="0"/>
        <w:autoSpaceDE/>
        <w:autoSpaceDN/>
        <w:bidi w:val="0"/>
        <w:adjustRightInd w:val="0"/>
        <w:snapToGrid/>
        <w:spacing w:line="560" w:lineRule="exact"/>
        <w:ind w:firstLine="640" w:firstLineChars="200"/>
        <w:textAlignment w:val="auto"/>
        <w:outlineLvl w:val="9"/>
        <w:rPr>
          <w:rFonts w:hint="default"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一是项目设立上，根据项目下达任务指标以及我县实际情况，科学编制项目实施方案，并对项目实施方案进行专门研究，科学分析，二是项目实施上严格执行政府采购程序，由中标单位进行项目具体实施。该项目设立、调整延续等方面符合资金管理基本规范和决策程序要求。</w:t>
      </w:r>
    </w:p>
    <w:p w14:paraId="0924C1C2">
      <w:pPr>
        <w:keepNext w:val="0"/>
        <w:keepLines w:val="0"/>
        <w:pageBreakBefore w:val="0"/>
        <w:widowControl w:val="0"/>
        <w:numPr>
          <w:ilvl w:val="0"/>
          <w:numId w:val="0"/>
        </w:numPr>
        <w:pBdr>
          <w:bottom w:val="single" w:color="FFFFFF" w:sz="4" w:space="23"/>
        </w:pBdr>
        <w:tabs>
          <w:tab w:val="left" w:pos="0"/>
        </w:tabs>
        <w:kinsoku/>
        <w:wordWrap/>
        <w:overflowPunct/>
        <w:topLinePunct w:val="0"/>
        <w:autoSpaceDE/>
        <w:autoSpaceDN/>
        <w:bidi w:val="0"/>
        <w:adjustRightInd w:val="0"/>
        <w:snapToGrid/>
        <w:spacing w:line="560" w:lineRule="exact"/>
        <w:ind w:firstLine="640" w:firstLineChars="200"/>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zh-CN" w:eastAsia="zh-CN" w:bidi="ar-SA"/>
        </w:rPr>
        <w:t>（</w:t>
      </w:r>
      <w:r>
        <w:rPr>
          <w:rFonts w:hint="eastAsia" w:ascii="仿宋_GB2312" w:hAnsi="仿宋_GB2312" w:eastAsia="仿宋_GB2312" w:cs="仿宋_GB2312"/>
          <w:color w:val="auto"/>
          <w:kern w:val="2"/>
          <w:sz w:val="32"/>
          <w:szCs w:val="32"/>
          <w:lang w:val="en-US" w:eastAsia="zh-CN" w:bidi="ar-SA"/>
        </w:rPr>
        <w:t>2</w:t>
      </w:r>
      <w:r>
        <w:rPr>
          <w:rFonts w:hint="eastAsia" w:ascii="仿宋_GB2312" w:hAnsi="仿宋_GB2312" w:eastAsia="仿宋_GB2312" w:cs="仿宋_GB2312"/>
          <w:color w:val="auto"/>
          <w:kern w:val="2"/>
          <w:sz w:val="32"/>
          <w:szCs w:val="32"/>
          <w:lang w:val="zh-CN" w:eastAsia="zh-CN" w:bidi="ar-SA"/>
        </w:rPr>
        <w:t>）目标设置</w:t>
      </w:r>
      <w:r>
        <w:rPr>
          <w:rFonts w:hint="eastAsia" w:ascii="仿宋_GB2312" w:hAnsi="仿宋_GB2312" w:eastAsia="仿宋_GB2312" w:cs="仿宋_GB2312"/>
          <w:color w:val="auto"/>
          <w:kern w:val="2"/>
          <w:sz w:val="32"/>
          <w:szCs w:val="32"/>
          <w:lang w:val="en-US" w:eastAsia="zh-CN" w:bidi="ar-SA"/>
        </w:rPr>
        <w:t>。（满分4分，自评得分4分）</w:t>
      </w:r>
    </w:p>
    <w:p w14:paraId="7CA8094E">
      <w:pPr>
        <w:keepNext w:val="0"/>
        <w:keepLines w:val="0"/>
        <w:pageBreakBefore w:val="0"/>
        <w:widowControl w:val="0"/>
        <w:numPr>
          <w:ilvl w:val="0"/>
          <w:numId w:val="0"/>
        </w:numPr>
        <w:pBdr>
          <w:bottom w:val="single" w:color="FFFFFF" w:sz="4" w:space="23"/>
        </w:pBdr>
        <w:tabs>
          <w:tab w:val="left" w:pos="0"/>
        </w:tabs>
        <w:kinsoku/>
        <w:wordWrap/>
        <w:overflowPunct/>
        <w:topLinePunct w:val="0"/>
        <w:autoSpaceDE/>
        <w:autoSpaceDN/>
        <w:bidi w:val="0"/>
        <w:adjustRightInd w:val="0"/>
        <w:snapToGrid/>
        <w:spacing w:line="560" w:lineRule="exact"/>
        <w:ind w:firstLine="640" w:firstLineChars="200"/>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一是项目实施前期，按照相关程序</w:t>
      </w:r>
      <w:r>
        <w:rPr>
          <w:rFonts w:hint="default" w:ascii="仿宋_GB2312" w:hAnsi="仿宋_GB2312" w:eastAsia="仿宋_GB2312" w:cs="仿宋_GB2312"/>
          <w:color w:val="auto"/>
          <w:kern w:val="2"/>
          <w:sz w:val="32"/>
          <w:szCs w:val="32"/>
          <w:lang w:val="en-US" w:eastAsia="zh-CN" w:bidi="ar-SA"/>
        </w:rPr>
        <w:t>进行</w:t>
      </w:r>
      <w:r>
        <w:rPr>
          <w:rFonts w:hint="eastAsia" w:ascii="仿宋_GB2312" w:hAnsi="仿宋_GB2312" w:eastAsia="仿宋_GB2312" w:cs="仿宋_GB2312"/>
          <w:color w:val="auto"/>
          <w:kern w:val="2"/>
          <w:sz w:val="32"/>
          <w:szCs w:val="32"/>
          <w:lang w:val="en-US" w:eastAsia="zh-CN" w:bidi="ar-SA"/>
        </w:rPr>
        <w:t>项目规划论证</w:t>
      </w:r>
      <w:r>
        <w:rPr>
          <w:rFonts w:hint="default" w:ascii="仿宋_GB2312" w:hAnsi="仿宋_GB2312" w:eastAsia="仿宋_GB2312" w:cs="仿宋_GB2312"/>
          <w:color w:val="auto"/>
          <w:kern w:val="2"/>
          <w:sz w:val="32"/>
          <w:szCs w:val="32"/>
          <w:lang w:val="en-US" w:eastAsia="zh-CN" w:bidi="ar-SA"/>
        </w:rPr>
        <w:t>，</w:t>
      </w:r>
      <w:r>
        <w:rPr>
          <w:rFonts w:hint="eastAsia" w:ascii="仿宋_GB2312" w:hAnsi="仿宋_GB2312" w:eastAsia="仿宋_GB2312" w:cs="仿宋_GB2312"/>
          <w:color w:val="auto"/>
          <w:kern w:val="2"/>
          <w:sz w:val="32"/>
          <w:szCs w:val="32"/>
          <w:lang w:val="en-US" w:eastAsia="zh-CN" w:bidi="ar-SA"/>
        </w:rPr>
        <w:t>符合中省要求。</w:t>
      </w:r>
    </w:p>
    <w:p w14:paraId="5E0A6686">
      <w:pPr>
        <w:keepNext w:val="0"/>
        <w:keepLines w:val="0"/>
        <w:pageBreakBefore w:val="0"/>
        <w:widowControl w:val="0"/>
        <w:numPr>
          <w:ilvl w:val="0"/>
          <w:numId w:val="0"/>
        </w:numPr>
        <w:pBdr>
          <w:bottom w:val="single" w:color="FFFFFF" w:sz="4" w:space="23"/>
        </w:pBdr>
        <w:tabs>
          <w:tab w:val="left" w:pos="0"/>
        </w:tabs>
        <w:kinsoku/>
        <w:wordWrap/>
        <w:overflowPunct/>
        <w:topLinePunct w:val="0"/>
        <w:autoSpaceDE/>
        <w:autoSpaceDN/>
        <w:bidi w:val="0"/>
        <w:adjustRightInd w:val="0"/>
        <w:snapToGrid/>
        <w:spacing w:line="560" w:lineRule="exact"/>
        <w:ind w:firstLine="640" w:firstLineChars="200"/>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二是项目绩效目标设置方面，共设置一级指标3项：产出指标、效益指标和满意度指标；二级指标6项：数量指标、质量指标、时效指标、成本指标、可持续影响指标、服务对象满意度指标；三级指标6项：项目建设面积（亩）、项目验收合格率（%）、 项目建设到期完成率（%）、行业建设标准、持续发挥经济生态效益（是/否）、项目群众满意度（%），该项目绩效目标设置科学合理。</w:t>
      </w:r>
    </w:p>
    <w:p w14:paraId="19D170E2">
      <w:pPr>
        <w:keepNext w:val="0"/>
        <w:keepLines w:val="0"/>
        <w:pageBreakBefore w:val="0"/>
        <w:widowControl w:val="0"/>
        <w:numPr>
          <w:ilvl w:val="0"/>
          <w:numId w:val="2"/>
        </w:numPr>
        <w:pBdr>
          <w:bottom w:val="single" w:color="FFFFFF" w:sz="4" w:space="23"/>
        </w:pBdr>
        <w:tabs>
          <w:tab w:val="left" w:pos="0"/>
        </w:tabs>
        <w:kinsoku/>
        <w:wordWrap/>
        <w:overflowPunct/>
        <w:topLinePunct w:val="0"/>
        <w:autoSpaceDE/>
        <w:autoSpaceDN/>
        <w:bidi w:val="0"/>
        <w:adjustRightInd w:val="0"/>
        <w:snapToGrid/>
        <w:spacing w:line="560" w:lineRule="exact"/>
        <w:ind w:firstLine="640" w:firstLineChars="200"/>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zh-CN" w:eastAsia="zh-CN" w:bidi="ar-SA"/>
        </w:rPr>
        <w:t>项目入库</w:t>
      </w:r>
      <w:r>
        <w:rPr>
          <w:rFonts w:hint="eastAsia" w:ascii="仿宋_GB2312" w:hAnsi="仿宋_GB2312" w:eastAsia="仿宋_GB2312" w:cs="仿宋_GB2312"/>
          <w:color w:val="auto"/>
          <w:kern w:val="2"/>
          <w:sz w:val="32"/>
          <w:szCs w:val="32"/>
          <w:lang w:val="en-US" w:eastAsia="zh-CN" w:bidi="ar-SA"/>
        </w:rPr>
        <w:t>。（满分4分，自评得分4分）</w:t>
      </w:r>
    </w:p>
    <w:p w14:paraId="5AB201C6">
      <w:pPr>
        <w:keepNext w:val="0"/>
        <w:keepLines w:val="0"/>
        <w:pageBreakBefore w:val="0"/>
        <w:widowControl w:val="0"/>
        <w:numPr>
          <w:ilvl w:val="0"/>
          <w:numId w:val="0"/>
        </w:numPr>
        <w:pBdr>
          <w:bottom w:val="single" w:color="FFFFFF" w:sz="4" w:space="23"/>
        </w:pBdr>
        <w:tabs>
          <w:tab w:val="left" w:pos="0"/>
        </w:tabs>
        <w:kinsoku/>
        <w:wordWrap/>
        <w:overflowPunct/>
        <w:topLinePunct w:val="0"/>
        <w:autoSpaceDE/>
        <w:autoSpaceDN/>
        <w:bidi w:val="0"/>
        <w:adjustRightInd w:val="0"/>
        <w:snapToGrid/>
        <w:spacing w:line="560" w:lineRule="exact"/>
        <w:ind w:firstLine="640" w:firstLineChars="200"/>
        <w:textAlignment w:val="auto"/>
        <w:outlineLvl w:val="9"/>
        <w:rPr>
          <w:rFonts w:hint="eastAsia" w:ascii="仿宋_GB2312" w:hAnsi="仿宋_GB2312" w:eastAsia="仿宋_GB2312" w:cs="仿宋_GB2312"/>
          <w:color w:val="FF0000"/>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我局部门预算项目在规定时间完成项目入库工作</w:t>
      </w:r>
      <w:r>
        <w:rPr>
          <w:rFonts w:hint="eastAsia" w:ascii="仿宋_GB2312" w:hAnsi="仿宋_GB2312" w:cs="仿宋_GB2312"/>
          <w:color w:val="auto"/>
          <w:kern w:val="2"/>
          <w:sz w:val="32"/>
          <w:szCs w:val="32"/>
          <w:lang w:val="en-US" w:eastAsia="zh-CN" w:bidi="ar-SA"/>
        </w:rPr>
        <w:t>。</w:t>
      </w:r>
    </w:p>
    <w:p w14:paraId="0686C46A">
      <w:pPr>
        <w:keepNext w:val="0"/>
        <w:keepLines w:val="0"/>
        <w:pageBreakBefore w:val="0"/>
        <w:widowControl w:val="0"/>
        <w:numPr>
          <w:ilvl w:val="0"/>
          <w:numId w:val="0"/>
        </w:numPr>
        <w:pBdr>
          <w:bottom w:val="single" w:color="FFFFFF" w:sz="4" w:space="23"/>
        </w:pBdr>
        <w:tabs>
          <w:tab w:val="left" w:pos="0"/>
        </w:tabs>
        <w:kinsoku/>
        <w:wordWrap/>
        <w:overflowPunct/>
        <w:topLinePunct w:val="0"/>
        <w:autoSpaceDE/>
        <w:autoSpaceDN/>
        <w:bidi w:val="0"/>
        <w:adjustRightInd w:val="0"/>
        <w:snapToGrid/>
        <w:spacing w:line="560" w:lineRule="exact"/>
        <w:ind w:firstLine="640" w:firstLineChars="200"/>
        <w:textAlignment w:val="auto"/>
        <w:outlineLvl w:val="9"/>
        <w:rPr>
          <w:rFonts w:hint="default" w:ascii="仿宋_GB2312" w:hAnsi="仿宋_GB2312" w:eastAsia="仿宋_GB2312" w:cs="仿宋_GB2312"/>
          <w:color w:val="auto"/>
          <w:kern w:val="2"/>
          <w:sz w:val="32"/>
          <w:szCs w:val="32"/>
          <w:lang w:val="zh-CN" w:eastAsia="zh-CN" w:bidi="ar-SA"/>
        </w:rPr>
      </w:pPr>
      <w:r>
        <w:rPr>
          <w:rFonts w:hint="eastAsia" w:ascii="仿宋_GB2312" w:hAnsi="仿宋_GB2312" w:cs="仿宋_GB2312"/>
          <w:color w:val="auto"/>
          <w:kern w:val="2"/>
          <w:sz w:val="32"/>
          <w:szCs w:val="32"/>
          <w:lang w:val="en-US" w:eastAsia="zh-CN" w:bidi="ar-SA"/>
        </w:rPr>
        <w:t>2.</w:t>
      </w:r>
      <w:r>
        <w:rPr>
          <w:rFonts w:hint="default" w:ascii="仿宋_GB2312" w:hAnsi="仿宋_GB2312" w:eastAsia="仿宋_GB2312" w:cs="仿宋_GB2312"/>
          <w:color w:val="auto"/>
          <w:kern w:val="2"/>
          <w:sz w:val="32"/>
          <w:szCs w:val="32"/>
          <w:lang w:val="en-US" w:eastAsia="zh-CN" w:bidi="ar-SA"/>
        </w:rPr>
        <w:t>项目执行</w:t>
      </w:r>
      <w:r>
        <w:rPr>
          <w:rFonts w:hint="default" w:ascii="仿宋_GB2312" w:hAnsi="仿宋_GB2312" w:eastAsia="仿宋_GB2312" w:cs="仿宋_GB2312"/>
          <w:color w:val="auto"/>
          <w:kern w:val="2"/>
          <w:sz w:val="32"/>
          <w:szCs w:val="32"/>
          <w:lang w:val="zh-CN" w:eastAsia="zh-CN" w:bidi="ar-SA"/>
        </w:rPr>
        <w:t>。围绕资金执行同向、项目调整、执行结果进行绩效分析。</w:t>
      </w:r>
    </w:p>
    <w:p w14:paraId="2FAED6D6">
      <w:pPr>
        <w:keepNext w:val="0"/>
        <w:keepLines w:val="0"/>
        <w:pageBreakBefore w:val="0"/>
        <w:widowControl w:val="0"/>
        <w:numPr>
          <w:ilvl w:val="0"/>
          <w:numId w:val="0"/>
        </w:numPr>
        <w:pBdr>
          <w:bottom w:val="single" w:color="FFFFFF" w:sz="4" w:space="23"/>
        </w:pBdr>
        <w:tabs>
          <w:tab w:val="left" w:pos="0"/>
        </w:tabs>
        <w:kinsoku/>
        <w:wordWrap/>
        <w:overflowPunct/>
        <w:topLinePunct w:val="0"/>
        <w:autoSpaceDE/>
        <w:autoSpaceDN/>
        <w:bidi w:val="0"/>
        <w:adjustRightInd w:val="0"/>
        <w:snapToGrid/>
        <w:spacing w:line="560" w:lineRule="exact"/>
        <w:ind w:firstLine="640" w:firstLineChars="200"/>
        <w:textAlignment w:val="auto"/>
        <w:outlineLvl w:val="9"/>
        <w:rPr>
          <w:rFonts w:hint="eastAsia" w:ascii="仿宋_GB2312" w:hAnsi="仿宋_GB2312" w:eastAsia="仿宋_GB2312" w:cs="仿宋_GB2312"/>
          <w:color w:val="0070C0"/>
          <w:kern w:val="2"/>
          <w:sz w:val="32"/>
          <w:szCs w:val="32"/>
          <w:lang w:val="en-US" w:eastAsia="zh-CN" w:bidi="ar-SA"/>
        </w:rPr>
      </w:pPr>
      <w:r>
        <w:rPr>
          <w:rFonts w:hint="eastAsia" w:ascii="仿宋_GB2312" w:hAnsi="仿宋_GB2312" w:cs="仿宋_GB2312"/>
          <w:color w:val="0070C0"/>
          <w:kern w:val="2"/>
          <w:sz w:val="32"/>
          <w:szCs w:val="32"/>
          <w:lang w:val="en-US" w:eastAsia="zh-CN" w:bidi="ar-SA"/>
        </w:rPr>
        <w:t xml:space="preserve">  </w:t>
      </w:r>
      <w:r>
        <w:rPr>
          <w:rFonts w:hint="eastAsia" w:ascii="仿宋_GB2312" w:hAnsi="仿宋_GB2312" w:eastAsia="仿宋_GB2312" w:cs="仿宋_GB2312"/>
          <w:color w:val="auto"/>
          <w:kern w:val="2"/>
          <w:sz w:val="32"/>
          <w:szCs w:val="32"/>
          <w:lang w:val="en-US" w:eastAsia="zh-CN" w:bidi="ar-SA"/>
        </w:rPr>
        <w:t xml:space="preserve"> （1）</w:t>
      </w:r>
      <w:r>
        <w:rPr>
          <w:rFonts w:hint="eastAsia" w:ascii="仿宋_GB2312" w:hAnsi="仿宋_GB2312" w:eastAsia="仿宋_GB2312" w:cs="仿宋_GB2312"/>
          <w:color w:val="auto"/>
          <w:kern w:val="2"/>
          <w:sz w:val="32"/>
          <w:szCs w:val="32"/>
          <w:lang w:val="zh-CN" w:eastAsia="zh-CN" w:bidi="ar-SA"/>
        </w:rPr>
        <w:t>资金执行同向。</w:t>
      </w:r>
      <w:r>
        <w:rPr>
          <w:rFonts w:hint="eastAsia" w:ascii="仿宋_GB2312" w:hAnsi="仿宋_GB2312" w:eastAsia="仿宋_GB2312" w:cs="仿宋_GB2312"/>
          <w:color w:val="auto"/>
          <w:kern w:val="2"/>
          <w:sz w:val="32"/>
          <w:szCs w:val="32"/>
          <w:lang w:val="en-US" w:eastAsia="zh-CN" w:bidi="ar-SA"/>
        </w:rPr>
        <w:t>（满分4分，自评得分4分）</w:t>
      </w:r>
    </w:p>
    <w:p w14:paraId="2AA8F586">
      <w:pPr>
        <w:keepNext w:val="0"/>
        <w:keepLines w:val="0"/>
        <w:pageBreakBefore w:val="0"/>
        <w:widowControl w:val="0"/>
        <w:numPr>
          <w:ilvl w:val="0"/>
          <w:numId w:val="0"/>
        </w:numPr>
        <w:pBdr>
          <w:bottom w:val="single" w:color="FFFFFF" w:sz="4" w:space="23"/>
        </w:pBdr>
        <w:tabs>
          <w:tab w:val="left" w:pos="0"/>
        </w:tabs>
        <w:kinsoku/>
        <w:wordWrap/>
        <w:overflowPunct/>
        <w:topLinePunct w:val="0"/>
        <w:autoSpaceDE/>
        <w:autoSpaceDN/>
        <w:bidi w:val="0"/>
        <w:adjustRightInd w:val="0"/>
        <w:snapToGrid/>
        <w:spacing w:line="560" w:lineRule="exact"/>
        <w:ind w:firstLine="640" w:firstLineChars="200"/>
        <w:textAlignment w:val="auto"/>
        <w:outlineLvl w:val="9"/>
        <w:rPr>
          <w:rFonts w:hint="eastAsia" w:ascii="仿宋_GB2312" w:hAnsi="仿宋_GB2312" w:eastAsia="仿宋_GB2312" w:cs="仿宋_GB2312"/>
          <w:color w:val="0070C0"/>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我局部门预算项目实际列支内容与绩效目标设置方向相符，实际列支内容与绩效目标设置方向不相符的部门预算阶段项目（含一次性项目）数量为0。</w:t>
      </w:r>
    </w:p>
    <w:p w14:paraId="234FA511">
      <w:pPr>
        <w:keepNext w:val="0"/>
        <w:keepLines w:val="0"/>
        <w:pageBreakBefore w:val="0"/>
        <w:widowControl w:val="0"/>
        <w:numPr>
          <w:ilvl w:val="0"/>
          <w:numId w:val="0"/>
        </w:numPr>
        <w:pBdr>
          <w:bottom w:val="single" w:color="FFFFFF" w:sz="4" w:space="23"/>
        </w:pBdr>
        <w:tabs>
          <w:tab w:val="left" w:pos="0"/>
        </w:tabs>
        <w:kinsoku/>
        <w:wordWrap/>
        <w:overflowPunct/>
        <w:topLinePunct w:val="0"/>
        <w:autoSpaceDE/>
        <w:autoSpaceDN/>
        <w:bidi w:val="0"/>
        <w:adjustRightInd w:val="0"/>
        <w:snapToGrid/>
        <w:spacing w:line="560" w:lineRule="exact"/>
        <w:ind w:firstLine="640" w:firstLineChars="200"/>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cs="仿宋_GB2312"/>
          <w:color w:val="auto"/>
          <w:kern w:val="2"/>
          <w:sz w:val="32"/>
          <w:szCs w:val="32"/>
          <w:lang w:val="zh-CN" w:eastAsia="zh-CN" w:bidi="ar-SA"/>
        </w:rPr>
        <w:t>（</w:t>
      </w:r>
      <w:r>
        <w:rPr>
          <w:rFonts w:hint="eastAsia" w:ascii="仿宋_GB2312" w:hAnsi="仿宋_GB2312" w:cs="仿宋_GB2312"/>
          <w:color w:val="auto"/>
          <w:kern w:val="2"/>
          <w:sz w:val="32"/>
          <w:szCs w:val="32"/>
          <w:lang w:val="en-US" w:eastAsia="zh-CN" w:bidi="ar-SA"/>
        </w:rPr>
        <w:t>2</w:t>
      </w:r>
      <w:r>
        <w:rPr>
          <w:rFonts w:hint="eastAsia" w:ascii="仿宋_GB2312" w:hAnsi="仿宋_GB2312" w:cs="仿宋_GB2312"/>
          <w:color w:val="auto"/>
          <w:kern w:val="2"/>
          <w:sz w:val="32"/>
          <w:szCs w:val="32"/>
          <w:lang w:val="zh-CN" w:eastAsia="zh-CN" w:bidi="ar-SA"/>
        </w:rPr>
        <w:t>）</w:t>
      </w:r>
      <w:r>
        <w:rPr>
          <w:rFonts w:hint="eastAsia" w:ascii="仿宋_GB2312" w:hAnsi="仿宋_GB2312" w:eastAsia="仿宋_GB2312" w:cs="仿宋_GB2312"/>
          <w:color w:val="auto"/>
          <w:kern w:val="2"/>
          <w:sz w:val="32"/>
          <w:szCs w:val="32"/>
          <w:lang w:val="zh-CN" w:eastAsia="zh-CN" w:bidi="ar-SA"/>
        </w:rPr>
        <w:t>项目调整。</w:t>
      </w:r>
      <w:r>
        <w:rPr>
          <w:rFonts w:hint="eastAsia" w:ascii="仿宋_GB2312" w:hAnsi="仿宋_GB2312" w:eastAsia="仿宋_GB2312" w:cs="仿宋_GB2312"/>
          <w:color w:val="auto"/>
          <w:kern w:val="2"/>
          <w:sz w:val="32"/>
          <w:szCs w:val="32"/>
          <w:lang w:val="en-US" w:eastAsia="zh-CN" w:bidi="ar-SA"/>
        </w:rPr>
        <w:t>（满分4分，自评得分4分）</w:t>
      </w:r>
    </w:p>
    <w:p w14:paraId="2D775B98">
      <w:pPr>
        <w:keepNext w:val="0"/>
        <w:keepLines w:val="0"/>
        <w:pageBreakBefore w:val="0"/>
        <w:widowControl w:val="0"/>
        <w:numPr>
          <w:ilvl w:val="0"/>
          <w:numId w:val="0"/>
        </w:numPr>
        <w:pBdr>
          <w:bottom w:val="single" w:color="FFFFFF" w:sz="4" w:space="23"/>
        </w:pBdr>
        <w:tabs>
          <w:tab w:val="left" w:pos="0"/>
        </w:tabs>
        <w:kinsoku/>
        <w:wordWrap/>
        <w:overflowPunct/>
        <w:topLinePunct w:val="0"/>
        <w:autoSpaceDE/>
        <w:autoSpaceDN/>
        <w:bidi w:val="0"/>
        <w:adjustRightInd w:val="0"/>
        <w:snapToGrid/>
        <w:spacing w:line="560" w:lineRule="exact"/>
        <w:ind w:firstLine="640" w:firstLineChars="200"/>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我局部门预算项目采取对应调整措施，应采取未采取收回预算、调整目标等处置措施的部门预算阶段项目数量为0。</w:t>
      </w:r>
    </w:p>
    <w:p w14:paraId="5112DC13">
      <w:pPr>
        <w:keepNext w:val="0"/>
        <w:keepLines w:val="0"/>
        <w:pageBreakBefore w:val="0"/>
        <w:widowControl w:val="0"/>
        <w:numPr>
          <w:ilvl w:val="0"/>
          <w:numId w:val="0"/>
        </w:numPr>
        <w:pBdr>
          <w:bottom w:val="single" w:color="FFFFFF" w:sz="4" w:space="23"/>
        </w:pBdr>
        <w:tabs>
          <w:tab w:val="left" w:pos="0"/>
        </w:tabs>
        <w:kinsoku/>
        <w:wordWrap/>
        <w:overflowPunct/>
        <w:topLinePunct w:val="0"/>
        <w:autoSpaceDE/>
        <w:autoSpaceDN/>
        <w:bidi w:val="0"/>
        <w:adjustRightInd w:val="0"/>
        <w:snapToGrid/>
        <w:spacing w:line="560" w:lineRule="exact"/>
        <w:ind w:firstLine="640" w:firstLineChars="200"/>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cs="仿宋_GB2312"/>
          <w:color w:val="auto"/>
          <w:kern w:val="2"/>
          <w:sz w:val="32"/>
          <w:szCs w:val="32"/>
          <w:lang w:val="zh-CN" w:eastAsia="zh-CN" w:bidi="ar-SA"/>
        </w:rPr>
        <w:t>（</w:t>
      </w:r>
      <w:r>
        <w:rPr>
          <w:rFonts w:hint="eastAsia" w:ascii="仿宋_GB2312" w:hAnsi="仿宋_GB2312" w:cs="仿宋_GB2312"/>
          <w:color w:val="auto"/>
          <w:kern w:val="2"/>
          <w:sz w:val="32"/>
          <w:szCs w:val="32"/>
          <w:lang w:val="en-US" w:eastAsia="zh-CN" w:bidi="ar-SA"/>
        </w:rPr>
        <w:t>3</w:t>
      </w:r>
      <w:r>
        <w:rPr>
          <w:rFonts w:hint="eastAsia" w:ascii="仿宋_GB2312" w:hAnsi="仿宋_GB2312" w:cs="仿宋_GB2312"/>
          <w:color w:val="auto"/>
          <w:kern w:val="2"/>
          <w:sz w:val="32"/>
          <w:szCs w:val="32"/>
          <w:lang w:val="zh-CN" w:eastAsia="zh-CN" w:bidi="ar-SA"/>
        </w:rPr>
        <w:t>）</w:t>
      </w:r>
      <w:r>
        <w:rPr>
          <w:rFonts w:hint="eastAsia" w:ascii="仿宋_GB2312" w:hAnsi="仿宋_GB2312" w:eastAsia="仿宋_GB2312" w:cs="仿宋_GB2312"/>
          <w:color w:val="auto"/>
          <w:kern w:val="2"/>
          <w:sz w:val="32"/>
          <w:szCs w:val="32"/>
          <w:lang w:val="zh-CN" w:eastAsia="zh-CN" w:bidi="ar-SA"/>
        </w:rPr>
        <w:t>执行结果。</w:t>
      </w:r>
      <w:r>
        <w:rPr>
          <w:rFonts w:hint="eastAsia" w:ascii="仿宋_GB2312" w:hAnsi="仿宋_GB2312" w:eastAsia="仿宋_GB2312" w:cs="仿宋_GB2312"/>
          <w:color w:val="auto"/>
          <w:kern w:val="2"/>
          <w:sz w:val="32"/>
          <w:szCs w:val="32"/>
          <w:lang w:val="en-US" w:eastAsia="zh-CN" w:bidi="ar-SA"/>
        </w:rPr>
        <w:t>（满分4分，自评得分3.6分）</w:t>
      </w:r>
    </w:p>
    <w:p w14:paraId="088EF624">
      <w:pPr>
        <w:keepNext w:val="0"/>
        <w:keepLines w:val="0"/>
        <w:pageBreakBefore w:val="0"/>
        <w:widowControl w:val="0"/>
        <w:numPr>
          <w:ilvl w:val="0"/>
          <w:numId w:val="0"/>
        </w:numPr>
        <w:pBdr>
          <w:bottom w:val="single" w:color="FFFFFF" w:sz="4" w:space="23"/>
        </w:pBdr>
        <w:tabs>
          <w:tab w:val="left" w:pos="0"/>
        </w:tabs>
        <w:kinsoku/>
        <w:wordWrap/>
        <w:overflowPunct/>
        <w:topLinePunct w:val="0"/>
        <w:autoSpaceDE/>
        <w:autoSpaceDN/>
        <w:bidi w:val="0"/>
        <w:adjustRightInd w:val="0"/>
        <w:snapToGrid/>
        <w:spacing w:line="560" w:lineRule="exact"/>
        <w:ind w:firstLine="640" w:firstLineChars="200"/>
        <w:textAlignment w:val="auto"/>
        <w:outlineLvl w:val="9"/>
        <w:rPr>
          <w:rFonts w:hint="default" w:ascii="仿宋_GB2312" w:hAnsi="仿宋_GB2312" w:eastAsia="仿宋_GB2312" w:cs="仿宋_GB2312"/>
          <w:color w:val="auto"/>
          <w:kern w:val="2"/>
          <w:sz w:val="32"/>
          <w:szCs w:val="32"/>
          <w:lang w:val="zh-CN" w:eastAsia="zh-CN" w:bidi="ar-SA"/>
        </w:rPr>
      </w:pPr>
      <w:r>
        <w:rPr>
          <w:rFonts w:hint="default" w:ascii="仿宋_GB2312" w:hAnsi="仿宋_GB2312" w:eastAsia="仿宋_GB2312" w:cs="仿宋_GB2312"/>
          <w:color w:val="auto"/>
          <w:kern w:val="2"/>
          <w:sz w:val="32"/>
          <w:szCs w:val="32"/>
          <w:lang w:val="en-US" w:eastAsia="zh-CN" w:bidi="ar-SA"/>
        </w:rPr>
        <w:t>常年项目绩效分析。</w:t>
      </w:r>
      <w:r>
        <w:rPr>
          <w:rFonts w:hint="default" w:ascii="仿宋_GB2312" w:hAnsi="仿宋_GB2312" w:eastAsia="仿宋_GB2312" w:cs="仿宋_GB2312"/>
          <w:color w:val="auto"/>
          <w:kern w:val="2"/>
          <w:sz w:val="32"/>
          <w:szCs w:val="32"/>
          <w:lang w:val="zh-CN" w:eastAsia="zh-CN" w:bidi="ar-SA"/>
        </w:rPr>
        <w:t>该类项目总数</w:t>
      </w:r>
      <w:r>
        <w:rPr>
          <w:rFonts w:hint="eastAsia" w:ascii="仿宋_GB2312" w:hAnsi="仿宋_GB2312" w:cs="仿宋_GB2312"/>
          <w:color w:val="auto"/>
          <w:kern w:val="2"/>
          <w:sz w:val="32"/>
          <w:szCs w:val="32"/>
          <w:lang w:val="en-US" w:eastAsia="zh-CN" w:bidi="ar-SA"/>
        </w:rPr>
        <w:t>15</w:t>
      </w:r>
      <w:r>
        <w:rPr>
          <w:rFonts w:hint="default" w:ascii="仿宋_GB2312" w:hAnsi="仿宋_GB2312" w:eastAsia="仿宋_GB2312" w:cs="仿宋_GB2312"/>
          <w:color w:val="auto"/>
          <w:kern w:val="2"/>
          <w:sz w:val="32"/>
          <w:szCs w:val="32"/>
          <w:lang w:val="zh-CN" w:eastAsia="zh-CN" w:bidi="ar-SA"/>
        </w:rPr>
        <w:t>个，涉及预算总金额</w:t>
      </w:r>
      <w:r>
        <w:rPr>
          <w:rFonts w:hint="eastAsia" w:ascii="仿宋_GB2312" w:hAnsi="仿宋_GB2312" w:cs="仿宋_GB2312"/>
          <w:color w:val="auto"/>
          <w:kern w:val="2"/>
          <w:sz w:val="32"/>
          <w:szCs w:val="32"/>
          <w:lang w:val="en-US" w:eastAsia="zh-CN" w:bidi="ar-SA"/>
        </w:rPr>
        <w:t>2292.25</w:t>
      </w:r>
      <w:r>
        <w:rPr>
          <w:rFonts w:hint="default" w:ascii="仿宋_GB2312" w:hAnsi="仿宋_GB2312" w:eastAsia="仿宋_GB2312" w:cs="仿宋_GB2312"/>
          <w:color w:val="auto"/>
          <w:kern w:val="2"/>
          <w:sz w:val="32"/>
          <w:szCs w:val="32"/>
          <w:lang w:val="zh-CN" w:eastAsia="zh-CN" w:bidi="ar-SA"/>
        </w:rPr>
        <w:t>万元，1</w:t>
      </w:r>
      <w:r>
        <w:rPr>
          <w:rFonts w:hint="eastAsia" w:ascii="仿宋_GB2312" w:hAnsi="仿宋_GB2312" w:eastAsia="仿宋_GB2312" w:cs="仿宋_GB2312"/>
          <w:color w:val="auto"/>
          <w:kern w:val="2"/>
          <w:sz w:val="32"/>
          <w:szCs w:val="32"/>
          <w:lang w:val="zh-CN" w:eastAsia="zh-CN" w:bidi="ar-SA"/>
        </w:rPr>
        <w:t>—</w:t>
      </w:r>
      <w:r>
        <w:rPr>
          <w:rFonts w:hint="default" w:ascii="仿宋_GB2312" w:hAnsi="仿宋_GB2312" w:eastAsia="仿宋_GB2312" w:cs="仿宋_GB2312"/>
          <w:color w:val="auto"/>
          <w:kern w:val="2"/>
          <w:sz w:val="32"/>
          <w:szCs w:val="32"/>
          <w:lang w:val="zh-CN" w:eastAsia="zh-CN" w:bidi="ar-SA"/>
        </w:rPr>
        <w:t>1</w:t>
      </w:r>
      <w:r>
        <w:rPr>
          <w:rFonts w:hint="default" w:ascii="仿宋_GB2312" w:hAnsi="仿宋_GB2312" w:eastAsia="仿宋_GB2312" w:cs="仿宋_GB2312"/>
          <w:color w:val="auto"/>
          <w:kern w:val="2"/>
          <w:sz w:val="32"/>
          <w:szCs w:val="32"/>
          <w:lang w:val="en-US" w:eastAsia="zh-CN" w:bidi="ar-SA"/>
        </w:rPr>
        <w:t>2</w:t>
      </w:r>
      <w:r>
        <w:rPr>
          <w:rFonts w:hint="default" w:ascii="仿宋_GB2312" w:hAnsi="仿宋_GB2312" w:eastAsia="仿宋_GB2312" w:cs="仿宋_GB2312"/>
          <w:color w:val="auto"/>
          <w:kern w:val="2"/>
          <w:sz w:val="32"/>
          <w:szCs w:val="32"/>
          <w:lang w:val="zh-CN" w:eastAsia="zh-CN" w:bidi="ar-SA"/>
        </w:rPr>
        <w:t>月预算执行总体进度为</w:t>
      </w:r>
      <w:r>
        <w:rPr>
          <w:rFonts w:hint="eastAsia" w:ascii="仿宋_GB2312" w:hAnsi="仿宋_GB2312" w:cs="仿宋_GB2312"/>
          <w:color w:val="auto"/>
          <w:kern w:val="2"/>
          <w:sz w:val="32"/>
          <w:szCs w:val="32"/>
          <w:lang w:val="en-US" w:eastAsia="zh-CN" w:bidi="ar-SA"/>
        </w:rPr>
        <w:t>77.23</w:t>
      </w:r>
      <w:r>
        <w:rPr>
          <w:rFonts w:hint="default" w:ascii="仿宋_GB2312" w:hAnsi="仿宋_GB2312" w:eastAsia="仿宋_GB2312" w:cs="仿宋_GB2312"/>
          <w:color w:val="auto"/>
          <w:kern w:val="2"/>
          <w:sz w:val="32"/>
          <w:szCs w:val="32"/>
          <w:lang w:val="zh-CN" w:eastAsia="zh-CN" w:bidi="ar-SA"/>
        </w:rPr>
        <w:t>%，其中：预算结余率大于</w:t>
      </w:r>
      <w:r>
        <w:rPr>
          <w:rFonts w:hint="default" w:ascii="仿宋_GB2312" w:hAnsi="仿宋_GB2312" w:eastAsia="仿宋_GB2312" w:cs="仿宋_GB2312"/>
          <w:color w:val="auto"/>
          <w:kern w:val="2"/>
          <w:sz w:val="32"/>
          <w:szCs w:val="32"/>
          <w:lang w:val="en-US" w:eastAsia="zh-CN" w:bidi="ar-SA"/>
        </w:rPr>
        <w:t>10%</w:t>
      </w:r>
      <w:r>
        <w:rPr>
          <w:rFonts w:hint="default" w:ascii="仿宋_GB2312" w:hAnsi="仿宋_GB2312" w:eastAsia="仿宋_GB2312" w:cs="仿宋_GB2312"/>
          <w:color w:val="auto"/>
          <w:kern w:val="2"/>
          <w:sz w:val="32"/>
          <w:szCs w:val="32"/>
          <w:lang w:val="zh-CN" w:eastAsia="zh-CN" w:bidi="ar-SA"/>
        </w:rPr>
        <w:t>的项目共计</w:t>
      </w:r>
      <w:r>
        <w:rPr>
          <w:rFonts w:hint="eastAsia" w:ascii="仿宋_GB2312" w:hAnsi="仿宋_GB2312" w:cs="仿宋_GB2312"/>
          <w:color w:val="auto"/>
          <w:kern w:val="2"/>
          <w:sz w:val="32"/>
          <w:szCs w:val="32"/>
          <w:lang w:val="en-US" w:eastAsia="zh-CN" w:bidi="ar-SA"/>
        </w:rPr>
        <w:t>2</w:t>
      </w:r>
      <w:r>
        <w:rPr>
          <w:rFonts w:hint="default" w:ascii="仿宋_GB2312" w:hAnsi="仿宋_GB2312" w:eastAsia="仿宋_GB2312" w:cs="仿宋_GB2312"/>
          <w:color w:val="auto"/>
          <w:kern w:val="2"/>
          <w:sz w:val="32"/>
          <w:szCs w:val="32"/>
          <w:lang w:val="zh-CN" w:eastAsia="zh-CN" w:bidi="ar-SA"/>
        </w:rPr>
        <w:t>个。</w:t>
      </w:r>
    </w:p>
    <w:p w14:paraId="39625431">
      <w:pPr>
        <w:keepNext w:val="0"/>
        <w:keepLines w:val="0"/>
        <w:pageBreakBefore w:val="0"/>
        <w:widowControl w:val="0"/>
        <w:numPr>
          <w:ilvl w:val="0"/>
          <w:numId w:val="0"/>
        </w:numPr>
        <w:pBdr>
          <w:bottom w:val="single" w:color="FFFFFF" w:sz="4" w:space="23"/>
        </w:pBdr>
        <w:tabs>
          <w:tab w:val="left" w:pos="0"/>
        </w:tabs>
        <w:kinsoku/>
        <w:wordWrap/>
        <w:overflowPunct/>
        <w:topLinePunct w:val="0"/>
        <w:autoSpaceDE/>
        <w:autoSpaceDN/>
        <w:bidi w:val="0"/>
        <w:adjustRightInd w:val="0"/>
        <w:snapToGrid/>
        <w:spacing w:line="560" w:lineRule="exact"/>
        <w:ind w:firstLine="640" w:firstLineChars="200"/>
        <w:textAlignment w:val="auto"/>
        <w:outlineLvl w:val="9"/>
        <w:rPr>
          <w:rFonts w:hint="default" w:ascii="仿宋_GB2312" w:hAnsi="仿宋_GB2312" w:eastAsia="仿宋_GB2312" w:cs="仿宋_GB2312"/>
          <w:color w:val="auto"/>
          <w:kern w:val="2"/>
          <w:sz w:val="32"/>
          <w:szCs w:val="32"/>
          <w:lang w:val="zh-CN" w:eastAsia="zh-CN" w:bidi="ar-SA"/>
        </w:rPr>
      </w:pPr>
      <w:r>
        <w:rPr>
          <w:rFonts w:hint="default" w:ascii="仿宋_GB2312" w:hAnsi="仿宋_GB2312" w:eastAsia="仿宋_GB2312" w:cs="仿宋_GB2312"/>
          <w:color w:val="auto"/>
          <w:kern w:val="2"/>
          <w:sz w:val="32"/>
          <w:szCs w:val="32"/>
          <w:lang w:val="en-US" w:eastAsia="zh-CN" w:bidi="ar-SA"/>
        </w:rPr>
        <w:t>阶段（</w:t>
      </w:r>
      <w:r>
        <w:rPr>
          <w:rFonts w:hint="eastAsia" w:ascii="仿宋_GB2312" w:hAnsi="仿宋_GB2312" w:eastAsia="仿宋_GB2312" w:cs="仿宋_GB2312"/>
          <w:color w:val="auto"/>
          <w:kern w:val="2"/>
          <w:sz w:val="32"/>
          <w:szCs w:val="32"/>
          <w:lang w:val="en-US" w:eastAsia="zh-CN" w:bidi="ar-SA"/>
        </w:rPr>
        <w:t>含</w:t>
      </w:r>
      <w:r>
        <w:rPr>
          <w:rFonts w:hint="default" w:ascii="仿宋_GB2312" w:hAnsi="仿宋_GB2312" w:eastAsia="仿宋_GB2312" w:cs="仿宋_GB2312"/>
          <w:color w:val="auto"/>
          <w:kern w:val="2"/>
          <w:sz w:val="32"/>
          <w:szCs w:val="32"/>
          <w:lang w:val="en-US" w:eastAsia="zh-CN" w:bidi="ar-SA"/>
        </w:rPr>
        <w:t>一次性）项目绩效分析。</w:t>
      </w:r>
      <w:r>
        <w:rPr>
          <w:rFonts w:hint="default" w:ascii="仿宋_GB2312" w:hAnsi="仿宋_GB2312" w:eastAsia="仿宋_GB2312" w:cs="仿宋_GB2312"/>
          <w:color w:val="auto"/>
          <w:kern w:val="2"/>
          <w:sz w:val="32"/>
          <w:szCs w:val="32"/>
          <w:lang w:val="zh-CN" w:eastAsia="zh-CN" w:bidi="ar-SA"/>
        </w:rPr>
        <w:t>该类项目总数</w:t>
      </w:r>
      <w:r>
        <w:rPr>
          <w:rFonts w:hint="eastAsia" w:ascii="仿宋_GB2312" w:hAnsi="仿宋_GB2312" w:cs="仿宋_GB2312"/>
          <w:color w:val="auto"/>
          <w:kern w:val="2"/>
          <w:sz w:val="32"/>
          <w:szCs w:val="32"/>
          <w:lang w:val="en-US" w:eastAsia="zh-CN" w:bidi="ar-SA"/>
        </w:rPr>
        <w:t>21</w:t>
      </w:r>
      <w:r>
        <w:rPr>
          <w:rFonts w:hint="default" w:ascii="仿宋_GB2312" w:hAnsi="仿宋_GB2312" w:eastAsia="仿宋_GB2312" w:cs="仿宋_GB2312"/>
          <w:color w:val="auto"/>
          <w:kern w:val="2"/>
          <w:sz w:val="32"/>
          <w:szCs w:val="32"/>
          <w:lang w:val="zh-CN" w:eastAsia="zh-CN" w:bidi="ar-SA"/>
        </w:rPr>
        <w:t>个，涉及预算总金额</w:t>
      </w:r>
      <w:r>
        <w:rPr>
          <w:rFonts w:hint="eastAsia" w:ascii="仿宋_GB2312" w:hAnsi="仿宋_GB2312" w:cs="仿宋_GB2312"/>
          <w:color w:val="auto"/>
          <w:kern w:val="2"/>
          <w:sz w:val="32"/>
          <w:szCs w:val="32"/>
          <w:lang w:val="en-US" w:eastAsia="zh-CN" w:bidi="ar-SA"/>
        </w:rPr>
        <w:t>2365.65</w:t>
      </w:r>
      <w:r>
        <w:rPr>
          <w:rFonts w:hint="default" w:ascii="仿宋_GB2312" w:hAnsi="仿宋_GB2312" w:eastAsia="仿宋_GB2312" w:cs="仿宋_GB2312"/>
          <w:color w:val="auto"/>
          <w:kern w:val="2"/>
          <w:sz w:val="32"/>
          <w:szCs w:val="32"/>
          <w:lang w:val="zh-CN" w:eastAsia="zh-CN" w:bidi="ar-SA"/>
        </w:rPr>
        <w:t>万元，1</w:t>
      </w:r>
      <w:r>
        <w:rPr>
          <w:rFonts w:hint="eastAsia" w:ascii="仿宋_GB2312" w:hAnsi="仿宋_GB2312" w:eastAsia="仿宋_GB2312" w:cs="仿宋_GB2312"/>
          <w:color w:val="auto"/>
          <w:kern w:val="2"/>
          <w:sz w:val="32"/>
          <w:szCs w:val="32"/>
          <w:lang w:val="zh-CN" w:eastAsia="zh-CN" w:bidi="ar-SA"/>
        </w:rPr>
        <w:t>—</w:t>
      </w:r>
      <w:r>
        <w:rPr>
          <w:rFonts w:hint="default" w:ascii="仿宋_GB2312" w:hAnsi="仿宋_GB2312" w:eastAsia="仿宋_GB2312" w:cs="仿宋_GB2312"/>
          <w:color w:val="auto"/>
          <w:kern w:val="2"/>
          <w:sz w:val="32"/>
          <w:szCs w:val="32"/>
          <w:lang w:val="zh-CN" w:eastAsia="zh-CN" w:bidi="ar-SA"/>
        </w:rPr>
        <w:t>1</w:t>
      </w:r>
      <w:r>
        <w:rPr>
          <w:rFonts w:hint="default" w:ascii="仿宋_GB2312" w:hAnsi="仿宋_GB2312" w:eastAsia="仿宋_GB2312" w:cs="仿宋_GB2312"/>
          <w:color w:val="auto"/>
          <w:kern w:val="2"/>
          <w:sz w:val="32"/>
          <w:szCs w:val="32"/>
          <w:lang w:val="en-US" w:eastAsia="zh-CN" w:bidi="ar-SA"/>
        </w:rPr>
        <w:t>2</w:t>
      </w:r>
      <w:r>
        <w:rPr>
          <w:rFonts w:hint="default" w:ascii="仿宋_GB2312" w:hAnsi="仿宋_GB2312" w:eastAsia="仿宋_GB2312" w:cs="仿宋_GB2312"/>
          <w:color w:val="auto"/>
          <w:kern w:val="2"/>
          <w:sz w:val="32"/>
          <w:szCs w:val="32"/>
          <w:lang w:val="zh-CN" w:eastAsia="zh-CN" w:bidi="ar-SA"/>
        </w:rPr>
        <w:t>月预算执行总体进度为</w:t>
      </w:r>
      <w:r>
        <w:rPr>
          <w:rFonts w:hint="eastAsia" w:ascii="仿宋_GB2312" w:hAnsi="仿宋_GB2312" w:cs="仿宋_GB2312"/>
          <w:color w:val="auto"/>
          <w:kern w:val="2"/>
          <w:sz w:val="32"/>
          <w:szCs w:val="32"/>
          <w:lang w:val="en-US" w:eastAsia="zh-CN" w:bidi="ar-SA"/>
        </w:rPr>
        <w:t>100</w:t>
      </w:r>
      <w:r>
        <w:rPr>
          <w:rFonts w:hint="default" w:ascii="仿宋_GB2312" w:hAnsi="仿宋_GB2312" w:eastAsia="仿宋_GB2312" w:cs="仿宋_GB2312"/>
          <w:color w:val="auto"/>
          <w:kern w:val="2"/>
          <w:sz w:val="32"/>
          <w:szCs w:val="32"/>
          <w:lang w:val="zh-CN" w:eastAsia="zh-CN" w:bidi="ar-SA"/>
        </w:rPr>
        <w:t>%，其中：预算结余率大于</w:t>
      </w:r>
      <w:r>
        <w:rPr>
          <w:rFonts w:hint="default" w:ascii="仿宋_GB2312" w:hAnsi="仿宋_GB2312" w:eastAsia="仿宋_GB2312" w:cs="仿宋_GB2312"/>
          <w:color w:val="auto"/>
          <w:kern w:val="2"/>
          <w:sz w:val="32"/>
          <w:szCs w:val="32"/>
          <w:lang w:val="en-US" w:eastAsia="zh-CN" w:bidi="ar-SA"/>
        </w:rPr>
        <w:t>10%</w:t>
      </w:r>
      <w:r>
        <w:rPr>
          <w:rFonts w:hint="default" w:ascii="仿宋_GB2312" w:hAnsi="仿宋_GB2312" w:eastAsia="仿宋_GB2312" w:cs="仿宋_GB2312"/>
          <w:color w:val="auto"/>
          <w:kern w:val="2"/>
          <w:sz w:val="32"/>
          <w:szCs w:val="32"/>
          <w:lang w:val="zh-CN" w:eastAsia="zh-CN" w:bidi="ar-SA"/>
        </w:rPr>
        <w:t>的项目共计</w:t>
      </w:r>
      <w:r>
        <w:rPr>
          <w:rFonts w:hint="eastAsia" w:ascii="仿宋_GB2312" w:hAnsi="仿宋_GB2312" w:cs="仿宋_GB2312"/>
          <w:color w:val="auto"/>
          <w:kern w:val="2"/>
          <w:sz w:val="32"/>
          <w:szCs w:val="32"/>
          <w:lang w:val="en-US" w:eastAsia="zh-CN" w:bidi="ar-SA"/>
        </w:rPr>
        <w:t>0</w:t>
      </w:r>
      <w:r>
        <w:rPr>
          <w:rFonts w:hint="default" w:ascii="仿宋_GB2312" w:hAnsi="仿宋_GB2312" w:eastAsia="仿宋_GB2312" w:cs="仿宋_GB2312"/>
          <w:color w:val="auto"/>
          <w:kern w:val="2"/>
          <w:sz w:val="32"/>
          <w:szCs w:val="32"/>
          <w:lang w:val="zh-CN" w:eastAsia="zh-CN" w:bidi="ar-SA"/>
        </w:rPr>
        <w:t>个。</w:t>
      </w:r>
    </w:p>
    <w:p w14:paraId="0D1514D0">
      <w:pPr>
        <w:keepNext w:val="0"/>
        <w:keepLines w:val="0"/>
        <w:pageBreakBefore w:val="0"/>
        <w:widowControl w:val="0"/>
        <w:numPr>
          <w:ilvl w:val="0"/>
          <w:numId w:val="0"/>
        </w:numPr>
        <w:pBdr>
          <w:bottom w:val="single" w:color="FFFFFF" w:sz="4" w:space="23"/>
        </w:pBdr>
        <w:tabs>
          <w:tab w:val="left" w:pos="0"/>
        </w:tabs>
        <w:kinsoku/>
        <w:wordWrap/>
        <w:overflowPunct/>
        <w:topLinePunct w:val="0"/>
        <w:autoSpaceDE/>
        <w:autoSpaceDN/>
        <w:bidi w:val="0"/>
        <w:adjustRightInd w:val="0"/>
        <w:snapToGrid/>
        <w:spacing w:line="560" w:lineRule="exact"/>
        <w:ind w:firstLine="640" w:firstLineChars="200"/>
        <w:textAlignment w:val="auto"/>
        <w:outlineLvl w:val="9"/>
        <w:rPr>
          <w:rFonts w:hint="eastAsia" w:ascii="仿宋_GB2312" w:hAnsi="仿宋_GB2312" w:eastAsia="仿宋_GB2312" w:cs="仿宋_GB2312"/>
          <w:color w:val="auto"/>
          <w:kern w:val="0"/>
          <w:sz w:val="32"/>
          <w:szCs w:val="32"/>
          <w:highlight w:val="none"/>
          <w:shd w:val="clear" w:color="auto" w:fill="FFFFFF"/>
          <w:lang w:val="zh-CN"/>
        </w:rPr>
      </w:pPr>
      <w:r>
        <w:rPr>
          <w:rFonts w:hint="eastAsia" w:ascii="仿宋_GB2312" w:hAnsi="仿宋_GB2312" w:eastAsia="仿宋_GB2312" w:cs="仿宋_GB2312"/>
          <w:color w:val="auto"/>
          <w:kern w:val="0"/>
          <w:sz w:val="32"/>
          <w:szCs w:val="32"/>
          <w:highlight w:val="none"/>
          <w:shd w:val="clear" w:color="auto" w:fill="FFFFFF"/>
          <w:lang w:val="en-US" w:eastAsia="zh-CN"/>
        </w:rPr>
        <w:t>2.</w:t>
      </w:r>
      <w:r>
        <w:rPr>
          <w:rFonts w:hint="eastAsia" w:ascii="仿宋_GB2312" w:hAnsi="仿宋_GB2312" w:eastAsia="仿宋_GB2312" w:cs="仿宋_GB2312"/>
          <w:color w:val="auto"/>
          <w:kern w:val="0"/>
          <w:sz w:val="32"/>
          <w:szCs w:val="32"/>
          <w:highlight w:val="none"/>
          <w:shd w:val="clear" w:color="auto" w:fill="FFFFFF"/>
          <w:lang w:val="zh-CN"/>
        </w:rPr>
        <w:t>目标实现。围绕目标完成、目标偏离、实现效果进行绩效分析。</w:t>
      </w:r>
    </w:p>
    <w:p w14:paraId="5EBA0268">
      <w:pPr>
        <w:keepNext w:val="0"/>
        <w:keepLines w:val="0"/>
        <w:pageBreakBefore w:val="0"/>
        <w:widowControl w:val="0"/>
        <w:numPr>
          <w:ilvl w:val="0"/>
          <w:numId w:val="0"/>
        </w:numPr>
        <w:pBdr>
          <w:bottom w:val="single" w:color="FFFFFF" w:sz="4" w:space="23"/>
        </w:pBdr>
        <w:tabs>
          <w:tab w:val="left" w:pos="0"/>
        </w:tabs>
        <w:kinsoku/>
        <w:wordWrap/>
        <w:overflowPunct/>
        <w:topLinePunct w:val="0"/>
        <w:autoSpaceDE/>
        <w:autoSpaceDN/>
        <w:bidi w:val="0"/>
        <w:adjustRightInd w:val="0"/>
        <w:snapToGrid/>
        <w:spacing w:line="560" w:lineRule="exact"/>
        <w:ind w:firstLine="640" w:firstLineChars="200"/>
        <w:textAlignment w:val="auto"/>
        <w:outlineLvl w:val="9"/>
        <w:rPr>
          <w:rFonts w:hint="eastAsia" w:ascii="仿宋_GB2312" w:hAnsi="仿宋_GB2312" w:eastAsia="仿宋_GB2312" w:cs="仿宋_GB2312"/>
          <w:color w:val="auto"/>
          <w:kern w:val="0"/>
          <w:sz w:val="32"/>
          <w:szCs w:val="32"/>
          <w:highlight w:val="none"/>
          <w:shd w:val="clear" w:color="auto" w:fill="FFFFFF"/>
          <w:lang w:val="en-US" w:eastAsia="zh-CN"/>
        </w:rPr>
      </w:pPr>
      <w:r>
        <w:rPr>
          <w:rFonts w:hint="eastAsia" w:ascii="仿宋_GB2312" w:hAnsi="仿宋_GB2312" w:eastAsia="仿宋_GB2312" w:cs="仿宋_GB2312"/>
          <w:color w:val="auto"/>
          <w:kern w:val="0"/>
          <w:sz w:val="32"/>
          <w:szCs w:val="32"/>
          <w:highlight w:val="none"/>
          <w:shd w:val="clear" w:color="auto" w:fill="FFFFFF"/>
          <w:lang w:val="zh-CN" w:eastAsia="zh-CN"/>
        </w:rPr>
        <w:t>（</w:t>
      </w:r>
      <w:r>
        <w:rPr>
          <w:rFonts w:hint="eastAsia" w:ascii="仿宋_GB2312" w:hAnsi="仿宋_GB2312" w:eastAsia="仿宋_GB2312" w:cs="仿宋_GB2312"/>
          <w:color w:val="auto"/>
          <w:kern w:val="0"/>
          <w:sz w:val="32"/>
          <w:szCs w:val="32"/>
          <w:highlight w:val="none"/>
          <w:shd w:val="clear" w:color="auto" w:fill="FFFFFF"/>
          <w:lang w:val="en-US" w:eastAsia="zh-CN"/>
        </w:rPr>
        <w:t>1</w:t>
      </w:r>
      <w:r>
        <w:rPr>
          <w:rFonts w:hint="eastAsia" w:ascii="仿宋_GB2312" w:hAnsi="仿宋_GB2312" w:eastAsia="仿宋_GB2312" w:cs="仿宋_GB2312"/>
          <w:color w:val="auto"/>
          <w:kern w:val="0"/>
          <w:sz w:val="32"/>
          <w:szCs w:val="32"/>
          <w:highlight w:val="none"/>
          <w:shd w:val="clear" w:color="auto" w:fill="FFFFFF"/>
          <w:lang w:val="zh-CN" w:eastAsia="zh-CN"/>
        </w:rPr>
        <w:t>）目标完成。</w:t>
      </w:r>
      <w:r>
        <w:rPr>
          <w:rFonts w:hint="eastAsia" w:ascii="仿宋_GB2312" w:hAnsi="仿宋_GB2312" w:eastAsia="仿宋_GB2312" w:cs="仿宋_GB2312"/>
          <w:color w:val="auto"/>
          <w:kern w:val="0"/>
          <w:sz w:val="32"/>
          <w:szCs w:val="32"/>
          <w:highlight w:val="none"/>
          <w:shd w:val="clear" w:color="auto" w:fill="FFFFFF"/>
          <w:lang w:val="en-US" w:eastAsia="zh-CN"/>
        </w:rPr>
        <w:t>（满分4分，自评得分</w:t>
      </w:r>
      <w:r>
        <w:rPr>
          <w:rFonts w:hint="eastAsia" w:ascii="仿宋_GB2312" w:hAnsi="仿宋_GB2312" w:cs="仿宋_GB2312"/>
          <w:color w:val="auto"/>
          <w:kern w:val="0"/>
          <w:sz w:val="32"/>
          <w:szCs w:val="32"/>
          <w:highlight w:val="none"/>
          <w:shd w:val="clear" w:color="auto" w:fill="FFFFFF"/>
          <w:lang w:val="en-US" w:eastAsia="zh-CN"/>
        </w:rPr>
        <w:t>3.8</w:t>
      </w:r>
      <w:r>
        <w:rPr>
          <w:rFonts w:hint="eastAsia" w:ascii="仿宋_GB2312" w:hAnsi="仿宋_GB2312" w:eastAsia="仿宋_GB2312" w:cs="仿宋_GB2312"/>
          <w:color w:val="auto"/>
          <w:kern w:val="0"/>
          <w:sz w:val="32"/>
          <w:szCs w:val="32"/>
          <w:highlight w:val="none"/>
          <w:shd w:val="clear" w:color="auto" w:fill="FFFFFF"/>
          <w:lang w:val="en-US" w:eastAsia="zh-CN"/>
        </w:rPr>
        <w:t>分）</w:t>
      </w:r>
    </w:p>
    <w:p w14:paraId="097D20E7">
      <w:pPr>
        <w:keepNext w:val="0"/>
        <w:keepLines w:val="0"/>
        <w:pageBreakBefore w:val="0"/>
        <w:widowControl w:val="0"/>
        <w:numPr>
          <w:ilvl w:val="0"/>
          <w:numId w:val="0"/>
        </w:numPr>
        <w:pBdr>
          <w:bottom w:val="single" w:color="FFFFFF" w:sz="4" w:space="23"/>
        </w:pBdr>
        <w:tabs>
          <w:tab w:val="left" w:pos="0"/>
        </w:tabs>
        <w:kinsoku/>
        <w:wordWrap/>
        <w:overflowPunct/>
        <w:topLinePunct w:val="0"/>
        <w:autoSpaceDE/>
        <w:autoSpaceDN/>
        <w:bidi w:val="0"/>
        <w:adjustRightInd w:val="0"/>
        <w:snapToGrid/>
        <w:spacing w:line="560" w:lineRule="exact"/>
        <w:ind w:firstLine="640" w:firstLineChars="200"/>
        <w:textAlignment w:val="auto"/>
        <w:outlineLvl w:val="9"/>
        <w:rPr>
          <w:rFonts w:hint="eastAsia" w:ascii="仿宋_GB2312" w:hAnsi="仿宋_GB2312" w:eastAsia="仿宋_GB2312" w:cs="仿宋_GB2312"/>
          <w:color w:val="auto"/>
          <w:kern w:val="0"/>
          <w:sz w:val="32"/>
          <w:szCs w:val="32"/>
          <w:highlight w:val="none"/>
          <w:shd w:val="clear" w:color="auto" w:fill="FFFFFF"/>
          <w:lang w:val="en-US" w:eastAsia="zh-CN"/>
        </w:rPr>
      </w:pPr>
      <w:r>
        <w:rPr>
          <w:rFonts w:hint="eastAsia" w:ascii="仿宋_GB2312" w:hAnsi="仿宋_GB2312" w:eastAsia="仿宋_GB2312" w:cs="仿宋_GB2312"/>
          <w:color w:val="auto"/>
          <w:kern w:val="0"/>
          <w:sz w:val="32"/>
          <w:szCs w:val="32"/>
          <w:highlight w:val="none"/>
          <w:shd w:val="clear" w:color="auto" w:fill="FFFFFF"/>
          <w:lang w:val="en-US" w:eastAsia="zh-CN"/>
        </w:rPr>
        <w:t>我局部门预算项目绩效目标数量指标完成情况：完成绩效目标数量指标的部门预算阶段项目（含一次性项目）数量</w:t>
      </w:r>
      <w:r>
        <w:rPr>
          <w:rFonts w:hint="eastAsia" w:ascii="仿宋_GB2312" w:hAnsi="仿宋_GB2312" w:cs="仿宋_GB2312"/>
          <w:color w:val="auto"/>
          <w:kern w:val="0"/>
          <w:sz w:val="32"/>
          <w:szCs w:val="32"/>
          <w:highlight w:val="none"/>
          <w:shd w:val="clear" w:color="auto" w:fill="FFFFFF"/>
          <w:lang w:val="en-US" w:eastAsia="zh-CN"/>
        </w:rPr>
        <w:t>35</w:t>
      </w:r>
      <w:r>
        <w:rPr>
          <w:rFonts w:hint="eastAsia" w:ascii="仿宋_GB2312" w:hAnsi="仿宋_GB2312" w:eastAsia="仿宋_GB2312" w:cs="仿宋_GB2312"/>
          <w:color w:val="auto"/>
          <w:kern w:val="0"/>
          <w:sz w:val="32"/>
          <w:szCs w:val="32"/>
          <w:highlight w:val="none"/>
          <w:shd w:val="clear" w:color="auto" w:fill="FFFFFF"/>
          <w:lang w:val="en-US" w:eastAsia="zh-CN"/>
        </w:rPr>
        <w:t>个，未完成绩效目标数量指标的部门预算阶段项目（含一次性项目）数量</w:t>
      </w:r>
      <w:r>
        <w:rPr>
          <w:rFonts w:hint="eastAsia" w:ascii="仿宋_GB2312" w:hAnsi="仿宋_GB2312" w:cs="仿宋_GB2312"/>
          <w:color w:val="auto"/>
          <w:kern w:val="0"/>
          <w:sz w:val="32"/>
          <w:szCs w:val="32"/>
          <w:highlight w:val="none"/>
          <w:shd w:val="clear" w:color="auto" w:fill="FFFFFF"/>
          <w:lang w:val="en-US" w:eastAsia="zh-CN"/>
        </w:rPr>
        <w:t>1</w:t>
      </w:r>
      <w:r>
        <w:rPr>
          <w:rFonts w:hint="eastAsia" w:ascii="仿宋_GB2312" w:hAnsi="仿宋_GB2312" w:eastAsia="仿宋_GB2312" w:cs="仿宋_GB2312"/>
          <w:color w:val="auto"/>
          <w:kern w:val="0"/>
          <w:sz w:val="32"/>
          <w:szCs w:val="32"/>
          <w:highlight w:val="none"/>
          <w:shd w:val="clear" w:color="auto" w:fill="FFFFFF"/>
          <w:lang w:val="en-US" w:eastAsia="zh-CN"/>
        </w:rPr>
        <w:t>个</w:t>
      </w:r>
      <w:r>
        <w:rPr>
          <w:rFonts w:hint="eastAsia" w:ascii="仿宋_GB2312" w:hAnsi="仿宋_GB2312" w:cs="仿宋_GB2312"/>
          <w:color w:val="auto"/>
          <w:kern w:val="0"/>
          <w:sz w:val="32"/>
          <w:szCs w:val="32"/>
          <w:highlight w:val="none"/>
          <w:shd w:val="clear" w:color="auto" w:fill="FFFFFF"/>
          <w:lang w:val="en-US" w:eastAsia="zh-CN"/>
        </w:rPr>
        <w:t>，黑水县草原生态修复治理（天然草原改良）项目未完成</w:t>
      </w:r>
      <w:r>
        <w:rPr>
          <w:rFonts w:hint="eastAsia" w:ascii="仿宋_GB2312" w:hAnsi="仿宋_GB2312" w:eastAsia="仿宋_GB2312" w:cs="仿宋_GB2312"/>
          <w:color w:val="auto"/>
          <w:kern w:val="0"/>
          <w:sz w:val="32"/>
          <w:szCs w:val="32"/>
          <w:highlight w:val="none"/>
          <w:shd w:val="clear" w:color="auto" w:fill="FFFFFF"/>
          <w:lang w:val="en-US" w:eastAsia="zh-CN"/>
        </w:rPr>
        <w:t>。</w:t>
      </w:r>
    </w:p>
    <w:p w14:paraId="6988305C">
      <w:pPr>
        <w:keepNext w:val="0"/>
        <w:keepLines w:val="0"/>
        <w:pageBreakBefore w:val="0"/>
        <w:widowControl w:val="0"/>
        <w:numPr>
          <w:ilvl w:val="0"/>
          <w:numId w:val="0"/>
        </w:numPr>
        <w:pBdr>
          <w:bottom w:val="single" w:color="FFFFFF" w:sz="4" w:space="23"/>
        </w:pBdr>
        <w:tabs>
          <w:tab w:val="left" w:pos="0"/>
        </w:tabs>
        <w:kinsoku/>
        <w:wordWrap/>
        <w:overflowPunct/>
        <w:topLinePunct w:val="0"/>
        <w:autoSpaceDE/>
        <w:autoSpaceDN/>
        <w:bidi w:val="0"/>
        <w:adjustRightInd w:val="0"/>
        <w:snapToGrid/>
        <w:spacing w:line="560" w:lineRule="exact"/>
        <w:ind w:firstLine="640" w:firstLineChars="200"/>
        <w:textAlignment w:val="auto"/>
        <w:outlineLvl w:val="9"/>
        <w:rPr>
          <w:rFonts w:hint="eastAsia" w:ascii="仿宋_GB2312" w:hAnsi="仿宋_GB2312" w:eastAsia="仿宋_GB2312" w:cs="仿宋_GB2312"/>
          <w:color w:val="auto"/>
          <w:kern w:val="0"/>
          <w:sz w:val="32"/>
          <w:szCs w:val="32"/>
          <w:highlight w:val="none"/>
          <w:shd w:val="clear" w:color="auto" w:fill="FFFFFF"/>
          <w:lang w:val="en-US" w:eastAsia="zh-CN"/>
        </w:rPr>
      </w:pPr>
      <w:r>
        <w:rPr>
          <w:rFonts w:hint="eastAsia" w:ascii="仿宋_GB2312" w:hAnsi="仿宋_GB2312" w:eastAsia="仿宋_GB2312" w:cs="仿宋_GB2312"/>
          <w:color w:val="auto"/>
          <w:kern w:val="0"/>
          <w:sz w:val="32"/>
          <w:szCs w:val="32"/>
          <w:highlight w:val="none"/>
          <w:shd w:val="clear" w:color="auto" w:fill="FFFFFF"/>
          <w:lang w:val="zh-CN" w:eastAsia="zh-CN"/>
        </w:rPr>
        <w:t>（</w:t>
      </w:r>
      <w:r>
        <w:rPr>
          <w:rFonts w:hint="eastAsia" w:ascii="仿宋_GB2312" w:hAnsi="仿宋_GB2312" w:eastAsia="仿宋_GB2312" w:cs="仿宋_GB2312"/>
          <w:color w:val="auto"/>
          <w:kern w:val="0"/>
          <w:sz w:val="32"/>
          <w:szCs w:val="32"/>
          <w:highlight w:val="none"/>
          <w:shd w:val="clear" w:color="auto" w:fill="FFFFFF"/>
          <w:lang w:val="en-US" w:eastAsia="zh-CN"/>
        </w:rPr>
        <w:t>2</w:t>
      </w:r>
      <w:r>
        <w:rPr>
          <w:rFonts w:hint="eastAsia" w:ascii="仿宋_GB2312" w:hAnsi="仿宋_GB2312" w:eastAsia="仿宋_GB2312" w:cs="仿宋_GB2312"/>
          <w:color w:val="auto"/>
          <w:kern w:val="0"/>
          <w:sz w:val="32"/>
          <w:szCs w:val="32"/>
          <w:highlight w:val="none"/>
          <w:shd w:val="clear" w:color="auto" w:fill="FFFFFF"/>
          <w:lang w:val="zh-CN" w:eastAsia="zh-CN"/>
        </w:rPr>
        <w:t>）目标偏离。</w:t>
      </w:r>
      <w:r>
        <w:rPr>
          <w:rFonts w:hint="eastAsia" w:ascii="仿宋_GB2312" w:hAnsi="仿宋_GB2312" w:eastAsia="仿宋_GB2312" w:cs="仿宋_GB2312"/>
          <w:color w:val="auto"/>
          <w:kern w:val="0"/>
          <w:sz w:val="32"/>
          <w:szCs w:val="32"/>
          <w:highlight w:val="none"/>
          <w:shd w:val="clear" w:color="auto" w:fill="FFFFFF"/>
          <w:lang w:val="en-US" w:eastAsia="zh-CN"/>
        </w:rPr>
        <w:t>（满分4分，自评得分4分）</w:t>
      </w:r>
    </w:p>
    <w:p w14:paraId="268E2382">
      <w:pPr>
        <w:keepNext w:val="0"/>
        <w:keepLines w:val="0"/>
        <w:pageBreakBefore w:val="0"/>
        <w:widowControl w:val="0"/>
        <w:numPr>
          <w:ilvl w:val="0"/>
          <w:numId w:val="0"/>
        </w:numPr>
        <w:pBdr>
          <w:bottom w:val="single" w:color="FFFFFF" w:sz="4" w:space="23"/>
        </w:pBdr>
        <w:tabs>
          <w:tab w:val="left" w:pos="0"/>
        </w:tabs>
        <w:kinsoku/>
        <w:wordWrap/>
        <w:overflowPunct/>
        <w:topLinePunct w:val="0"/>
        <w:autoSpaceDE/>
        <w:autoSpaceDN/>
        <w:bidi w:val="0"/>
        <w:adjustRightInd w:val="0"/>
        <w:snapToGrid/>
        <w:spacing w:line="560" w:lineRule="exact"/>
        <w:ind w:firstLine="640" w:firstLineChars="200"/>
        <w:textAlignment w:val="auto"/>
        <w:outlineLvl w:val="9"/>
        <w:rPr>
          <w:rFonts w:hint="eastAsia" w:ascii="仿宋_GB2312" w:hAnsi="仿宋_GB2312" w:eastAsia="仿宋_GB2312" w:cs="仿宋_GB2312"/>
          <w:color w:val="auto"/>
          <w:kern w:val="0"/>
          <w:sz w:val="32"/>
          <w:szCs w:val="32"/>
          <w:highlight w:val="none"/>
          <w:shd w:val="clear" w:color="auto" w:fill="FFFFFF"/>
          <w:lang w:val="en-US" w:eastAsia="zh-CN"/>
        </w:rPr>
      </w:pPr>
      <w:r>
        <w:rPr>
          <w:rFonts w:hint="eastAsia" w:ascii="仿宋_GB2312" w:hAnsi="仿宋_GB2312" w:eastAsia="仿宋_GB2312" w:cs="仿宋_GB2312"/>
          <w:color w:val="auto"/>
          <w:kern w:val="0"/>
          <w:sz w:val="32"/>
          <w:szCs w:val="32"/>
          <w:highlight w:val="none"/>
          <w:shd w:val="clear" w:color="auto" w:fill="FFFFFF"/>
          <w:lang w:val="en-US" w:eastAsia="zh-CN"/>
        </w:rPr>
        <w:t>我局部门预算项目已完成预期指标值的数量指标中偏离度在30%内的指标个数36个，部门预算阶段项目（含一次性项目）绩效目标实际完成值偏离预期指标30%以上（含30%）的0个。</w:t>
      </w:r>
    </w:p>
    <w:p w14:paraId="69AEE306">
      <w:pPr>
        <w:keepNext w:val="0"/>
        <w:keepLines w:val="0"/>
        <w:pageBreakBefore w:val="0"/>
        <w:widowControl w:val="0"/>
        <w:numPr>
          <w:ilvl w:val="0"/>
          <w:numId w:val="0"/>
        </w:numPr>
        <w:pBdr>
          <w:bottom w:val="single" w:color="FFFFFF" w:sz="4" w:space="23"/>
        </w:pBdr>
        <w:tabs>
          <w:tab w:val="left" w:pos="0"/>
        </w:tabs>
        <w:kinsoku/>
        <w:wordWrap/>
        <w:overflowPunct/>
        <w:topLinePunct w:val="0"/>
        <w:autoSpaceDE/>
        <w:autoSpaceDN/>
        <w:bidi w:val="0"/>
        <w:adjustRightInd w:val="0"/>
        <w:snapToGrid/>
        <w:spacing w:line="560" w:lineRule="exact"/>
        <w:ind w:firstLine="640" w:firstLineChars="200"/>
        <w:textAlignment w:val="auto"/>
        <w:outlineLvl w:val="9"/>
        <w:rPr>
          <w:rFonts w:hint="eastAsia" w:ascii="仿宋_GB2312" w:hAnsi="仿宋_GB2312" w:eastAsia="仿宋_GB2312" w:cs="仿宋_GB2312"/>
          <w:color w:val="auto"/>
          <w:kern w:val="0"/>
          <w:sz w:val="32"/>
          <w:szCs w:val="32"/>
          <w:highlight w:val="none"/>
          <w:shd w:val="clear" w:color="auto" w:fill="FFFFFF"/>
          <w:lang w:val="zh-CN"/>
        </w:rPr>
      </w:pPr>
      <w:r>
        <w:rPr>
          <w:rFonts w:hint="eastAsia" w:ascii="仿宋_GB2312" w:hAnsi="仿宋_GB2312" w:eastAsia="仿宋_GB2312" w:cs="仿宋_GB2312"/>
          <w:color w:val="auto"/>
          <w:kern w:val="0"/>
          <w:sz w:val="32"/>
          <w:szCs w:val="32"/>
          <w:highlight w:val="none"/>
          <w:shd w:val="clear" w:color="auto" w:fill="FFFFFF"/>
          <w:lang w:val="zh-CN" w:eastAsia="zh-CN"/>
        </w:rPr>
        <w:t>（</w:t>
      </w:r>
      <w:r>
        <w:rPr>
          <w:rFonts w:hint="eastAsia" w:ascii="仿宋_GB2312" w:hAnsi="仿宋_GB2312" w:eastAsia="仿宋_GB2312" w:cs="仿宋_GB2312"/>
          <w:color w:val="auto"/>
          <w:kern w:val="0"/>
          <w:sz w:val="32"/>
          <w:szCs w:val="32"/>
          <w:highlight w:val="none"/>
          <w:shd w:val="clear" w:color="auto" w:fill="FFFFFF"/>
          <w:lang w:val="en-US" w:eastAsia="zh-CN"/>
        </w:rPr>
        <w:t>3</w:t>
      </w:r>
      <w:r>
        <w:rPr>
          <w:rFonts w:hint="eastAsia" w:ascii="仿宋_GB2312" w:hAnsi="仿宋_GB2312" w:eastAsia="仿宋_GB2312" w:cs="仿宋_GB2312"/>
          <w:color w:val="auto"/>
          <w:kern w:val="0"/>
          <w:sz w:val="32"/>
          <w:szCs w:val="32"/>
          <w:highlight w:val="none"/>
          <w:shd w:val="clear" w:color="auto" w:fill="FFFFFF"/>
          <w:lang w:val="zh-CN" w:eastAsia="zh-CN"/>
        </w:rPr>
        <w:t>）实现效果</w:t>
      </w:r>
      <w:r>
        <w:rPr>
          <w:rFonts w:hint="eastAsia" w:ascii="仿宋_GB2312" w:hAnsi="仿宋_GB2312" w:eastAsia="仿宋_GB2312" w:cs="仿宋_GB2312"/>
          <w:color w:val="auto"/>
          <w:kern w:val="0"/>
          <w:sz w:val="32"/>
          <w:szCs w:val="32"/>
          <w:highlight w:val="none"/>
          <w:shd w:val="clear" w:color="auto" w:fill="FFFFFF"/>
          <w:lang w:val="en-US" w:eastAsia="zh-CN"/>
        </w:rPr>
        <w:t>（满分3分，自评得分</w:t>
      </w:r>
      <w:r>
        <w:rPr>
          <w:rFonts w:hint="eastAsia" w:ascii="仿宋_GB2312" w:hAnsi="仿宋_GB2312" w:cs="仿宋_GB2312"/>
          <w:color w:val="auto"/>
          <w:kern w:val="0"/>
          <w:sz w:val="32"/>
          <w:szCs w:val="32"/>
          <w:highlight w:val="none"/>
          <w:shd w:val="clear" w:color="auto" w:fill="FFFFFF"/>
          <w:lang w:val="en-US" w:eastAsia="zh-CN"/>
        </w:rPr>
        <w:t>2.9</w:t>
      </w:r>
      <w:r>
        <w:rPr>
          <w:rFonts w:hint="eastAsia" w:ascii="仿宋_GB2312" w:hAnsi="仿宋_GB2312" w:eastAsia="仿宋_GB2312" w:cs="仿宋_GB2312"/>
          <w:color w:val="auto"/>
          <w:kern w:val="0"/>
          <w:sz w:val="32"/>
          <w:szCs w:val="32"/>
          <w:highlight w:val="none"/>
          <w:shd w:val="clear" w:color="auto" w:fill="FFFFFF"/>
          <w:lang w:val="en-US" w:eastAsia="zh-CN"/>
        </w:rPr>
        <w:t>分）</w:t>
      </w:r>
    </w:p>
    <w:p w14:paraId="34EDB6F7">
      <w:pPr>
        <w:keepNext w:val="0"/>
        <w:keepLines w:val="0"/>
        <w:pageBreakBefore w:val="0"/>
        <w:widowControl w:val="0"/>
        <w:numPr>
          <w:ilvl w:val="0"/>
          <w:numId w:val="0"/>
        </w:numPr>
        <w:pBdr>
          <w:bottom w:val="single" w:color="FFFFFF" w:sz="4" w:space="23"/>
        </w:pBdr>
        <w:tabs>
          <w:tab w:val="left" w:pos="0"/>
        </w:tabs>
        <w:kinsoku/>
        <w:wordWrap/>
        <w:overflowPunct/>
        <w:topLinePunct w:val="0"/>
        <w:autoSpaceDE/>
        <w:autoSpaceDN/>
        <w:bidi w:val="0"/>
        <w:adjustRightInd w:val="0"/>
        <w:snapToGrid/>
        <w:spacing w:line="560" w:lineRule="exact"/>
        <w:ind w:firstLine="640" w:firstLineChars="200"/>
        <w:textAlignment w:val="auto"/>
        <w:outlineLvl w:val="9"/>
        <w:rPr>
          <w:rFonts w:hint="eastAsia" w:ascii="仿宋_GB2312" w:hAnsi="仿宋_GB2312" w:eastAsia="仿宋_GB2312" w:cs="仿宋_GB2312"/>
          <w:color w:val="FF0000"/>
          <w:kern w:val="0"/>
          <w:sz w:val="32"/>
          <w:szCs w:val="32"/>
          <w:highlight w:val="none"/>
          <w:shd w:val="clear" w:color="auto" w:fill="FFFFFF"/>
          <w:lang w:val="en-US" w:eastAsia="zh-CN"/>
        </w:rPr>
      </w:pPr>
      <w:r>
        <w:rPr>
          <w:rFonts w:hint="eastAsia" w:ascii="仿宋_GB2312" w:hAnsi="仿宋_GB2312" w:eastAsia="仿宋_GB2312" w:cs="仿宋_GB2312"/>
          <w:color w:val="auto"/>
          <w:kern w:val="0"/>
          <w:sz w:val="32"/>
          <w:szCs w:val="32"/>
          <w:highlight w:val="none"/>
          <w:shd w:val="clear" w:color="auto" w:fill="FFFFFF"/>
          <w:lang w:val="en-US" w:eastAsia="zh-CN"/>
        </w:rPr>
        <w:t>我局</w:t>
      </w:r>
      <w:r>
        <w:rPr>
          <w:rFonts w:hint="eastAsia" w:ascii="仿宋_GB2312" w:hAnsi="仿宋_GB2312" w:eastAsia="仿宋_GB2312" w:cs="仿宋_GB2312"/>
          <w:color w:val="auto"/>
          <w:kern w:val="0"/>
          <w:sz w:val="32"/>
          <w:szCs w:val="32"/>
          <w:highlight w:val="none"/>
          <w:shd w:val="clear" w:color="auto" w:fill="FFFFFF"/>
          <w:lang w:val="zh-CN" w:eastAsia="zh-CN"/>
        </w:rPr>
        <w:t>完成绩效目标效益指标的部门预算阶段项目（含一次性项目）数量</w:t>
      </w:r>
      <w:r>
        <w:rPr>
          <w:rFonts w:hint="eastAsia" w:ascii="仿宋_GB2312" w:hAnsi="仿宋_GB2312" w:cs="仿宋_GB2312"/>
          <w:color w:val="auto"/>
          <w:kern w:val="0"/>
          <w:sz w:val="32"/>
          <w:szCs w:val="32"/>
          <w:highlight w:val="none"/>
          <w:shd w:val="clear" w:color="auto" w:fill="FFFFFF"/>
          <w:lang w:val="en-US" w:eastAsia="zh-CN"/>
        </w:rPr>
        <w:t>35</w:t>
      </w:r>
      <w:r>
        <w:rPr>
          <w:rFonts w:hint="eastAsia" w:ascii="仿宋_GB2312" w:hAnsi="仿宋_GB2312" w:eastAsia="仿宋_GB2312" w:cs="仿宋_GB2312"/>
          <w:color w:val="auto"/>
          <w:kern w:val="0"/>
          <w:sz w:val="32"/>
          <w:szCs w:val="32"/>
          <w:highlight w:val="none"/>
          <w:shd w:val="clear" w:color="auto" w:fill="FFFFFF"/>
          <w:lang w:val="en-US" w:eastAsia="zh-CN"/>
        </w:rPr>
        <w:t>个，未完成绩效目标效益指标的部门预算阶段项目（含一次性项目）数量</w:t>
      </w:r>
      <w:r>
        <w:rPr>
          <w:rFonts w:hint="eastAsia" w:ascii="仿宋_GB2312" w:hAnsi="仿宋_GB2312" w:cs="仿宋_GB2312"/>
          <w:color w:val="auto"/>
          <w:kern w:val="0"/>
          <w:sz w:val="32"/>
          <w:szCs w:val="32"/>
          <w:highlight w:val="none"/>
          <w:shd w:val="clear" w:color="auto" w:fill="FFFFFF"/>
          <w:lang w:val="en-US" w:eastAsia="zh-CN"/>
        </w:rPr>
        <w:t>1</w:t>
      </w:r>
      <w:r>
        <w:rPr>
          <w:rFonts w:hint="eastAsia" w:ascii="仿宋_GB2312" w:hAnsi="仿宋_GB2312" w:eastAsia="仿宋_GB2312" w:cs="仿宋_GB2312"/>
          <w:color w:val="auto"/>
          <w:kern w:val="0"/>
          <w:sz w:val="32"/>
          <w:szCs w:val="32"/>
          <w:highlight w:val="none"/>
          <w:shd w:val="clear" w:color="auto" w:fill="FFFFFF"/>
          <w:lang w:val="en-US" w:eastAsia="zh-CN"/>
        </w:rPr>
        <w:t>个</w:t>
      </w:r>
      <w:r>
        <w:rPr>
          <w:rFonts w:hint="eastAsia" w:ascii="仿宋_GB2312" w:hAnsi="仿宋_GB2312" w:cs="仿宋_GB2312"/>
          <w:color w:val="auto"/>
          <w:kern w:val="0"/>
          <w:sz w:val="32"/>
          <w:szCs w:val="32"/>
          <w:highlight w:val="none"/>
          <w:shd w:val="clear" w:color="auto" w:fill="FFFFFF"/>
          <w:lang w:val="en-US" w:eastAsia="zh-CN"/>
        </w:rPr>
        <w:t>，黑水县草原生态修复治理（天然草原改良）项目未完成</w:t>
      </w:r>
      <w:r>
        <w:rPr>
          <w:rFonts w:hint="eastAsia" w:ascii="仿宋_GB2312" w:hAnsi="仿宋_GB2312" w:eastAsia="仿宋_GB2312" w:cs="仿宋_GB2312"/>
          <w:color w:val="auto"/>
          <w:kern w:val="0"/>
          <w:sz w:val="32"/>
          <w:szCs w:val="32"/>
          <w:highlight w:val="none"/>
          <w:shd w:val="clear" w:color="auto" w:fill="FFFFFF"/>
          <w:lang w:val="en-US" w:eastAsia="zh-CN"/>
        </w:rPr>
        <w:t>。</w:t>
      </w:r>
    </w:p>
    <w:p w14:paraId="1B0791AF">
      <w:pPr>
        <w:keepNext w:val="0"/>
        <w:keepLines w:val="0"/>
        <w:pageBreakBefore w:val="0"/>
        <w:widowControl w:val="0"/>
        <w:numPr>
          <w:ilvl w:val="0"/>
          <w:numId w:val="1"/>
        </w:numPr>
        <w:pBdr>
          <w:bottom w:val="single" w:color="FFFFFF" w:sz="4" w:space="23"/>
        </w:pBdr>
        <w:tabs>
          <w:tab w:val="left" w:pos="0"/>
        </w:tabs>
        <w:kinsoku/>
        <w:wordWrap/>
        <w:overflowPunct/>
        <w:topLinePunct w:val="0"/>
        <w:autoSpaceDE/>
        <w:autoSpaceDN/>
        <w:bidi w:val="0"/>
        <w:adjustRightInd w:val="0"/>
        <w:snapToGrid/>
        <w:spacing w:line="560" w:lineRule="exact"/>
        <w:ind w:left="0" w:leftChars="0" w:firstLine="643" w:firstLineChars="200"/>
        <w:textAlignment w:val="auto"/>
        <w:outlineLvl w:val="9"/>
        <w:rPr>
          <w:rFonts w:hint="default" w:ascii="Times New Roman" w:hAnsi="Times New Roman" w:eastAsia="楷体_GB2312" w:cs="Times New Roman"/>
          <w:b/>
          <w:bCs/>
          <w:color w:val="auto"/>
          <w:sz w:val="32"/>
          <w:szCs w:val="32"/>
          <w:lang w:val="zh-CN"/>
        </w:rPr>
      </w:pPr>
      <w:r>
        <w:rPr>
          <w:rFonts w:hint="default" w:ascii="Times New Roman" w:hAnsi="Times New Roman" w:eastAsia="楷体_GB2312" w:cs="Times New Roman"/>
          <w:b/>
          <w:bCs/>
          <w:color w:val="auto"/>
          <w:sz w:val="32"/>
          <w:szCs w:val="32"/>
          <w:lang w:val="zh-CN"/>
        </w:rPr>
        <w:t>绩效结果应用情况。</w:t>
      </w:r>
    </w:p>
    <w:p w14:paraId="341FA788">
      <w:pPr>
        <w:keepNext w:val="0"/>
        <w:keepLines w:val="0"/>
        <w:pageBreakBefore w:val="0"/>
        <w:widowControl w:val="0"/>
        <w:numPr>
          <w:ilvl w:val="0"/>
          <w:numId w:val="0"/>
        </w:numPr>
        <w:pBdr>
          <w:bottom w:val="single" w:color="FFFFFF" w:sz="4" w:space="23"/>
        </w:pBdr>
        <w:tabs>
          <w:tab w:val="left" w:pos="0"/>
        </w:tabs>
        <w:kinsoku/>
        <w:wordWrap/>
        <w:overflowPunct/>
        <w:topLinePunct w:val="0"/>
        <w:autoSpaceDE/>
        <w:autoSpaceDN/>
        <w:bidi w:val="0"/>
        <w:adjustRightInd w:val="0"/>
        <w:snapToGrid/>
        <w:spacing w:line="560" w:lineRule="exact"/>
        <w:ind w:firstLine="640" w:firstLineChars="200"/>
        <w:textAlignment w:val="auto"/>
        <w:outlineLvl w:val="9"/>
        <w:rPr>
          <w:rFonts w:hint="default" w:ascii="Times New Roman" w:hAnsi="Times New Roman" w:eastAsia="仿宋_GB2312" w:cs="Times New Roman"/>
          <w:b/>
          <w:bCs w:val="0"/>
          <w:color w:val="FF0000"/>
          <w:sz w:val="32"/>
          <w:szCs w:val="32"/>
        </w:rPr>
      </w:pPr>
      <w:r>
        <w:rPr>
          <w:rFonts w:hint="eastAsia" w:ascii="仿宋_GB2312" w:hAnsi="仿宋_GB2312" w:eastAsia="仿宋_GB2312" w:cs="仿宋_GB2312"/>
          <w:b w:val="0"/>
          <w:bCs w:val="0"/>
          <w:kern w:val="0"/>
          <w:position w:val="0"/>
          <w:sz w:val="32"/>
          <w:szCs w:val="32"/>
          <w:highlight w:val="none"/>
          <w:lang w:val="en-US" w:eastAsia="zh-CN" w:bidi="ar-SA"/>
        </w:rPr>
        <w:t>我局每年按规定对本单位项目</w:t>
      </w:r>
      <w:r>
        <w:rPr>
          <w:rFonts w:hint="eastAsia" w:ascii="仿宋_GB2312" w:hAnsi="仿宋_GB2312" w:eastAsia="仿宋_GB2312" w:cs="仿宋_GB2312"/>
          <w:b w:val="0"/>
          <w:bCs w:val="0"/>
          <w:kern w:val="0"/>
          <w:position w:val="0"/>
          <w:sz w:val="32"/>
          <w:szCs w:val="32"/>
          <w:highlight w:val="none"/>
          <w:lang w:val="zh-CN" w:eastAsia="zh-CN" w:bidi="ar-SA"/>
        </w:rPr>
        <w:t>支出</w:t>
      </w:r>
      <w:r>
        <w:rPr>
          <w:rFonts w:hint="eastAsia" w:ascii="仿宋_GB2312" w:hAnsi="仿宋_GB2312" w:eastAsia="仿宋_GB2312" w:cs="仿宋_GB2312"/>
          <w:b w:val="0"/>
          <w:bCs w:val="0"/>
          <w:kern w:val="0"/>
          <w:position w:val="0"/>
          <w:sz w:val="32"/>
          <w:szCs w:val="32"/>
          <w:highlight w:val="none"/>
          <w:lang w:val="en-US" w:eastAsia="zh-CN" w:bidi="ar-SA"/>
        </w:rPr>
        <w:t>及整体支出进行绩效评价；并依法接受财政部门监督监管。</w:t>
      </w:r>
    </w:p>
    <w:p w14:paraId="63348806">
      <w:pPr>
        <w:keepNext w:val="0"/>
        <w:keepLines w:val="0"/>
        <w:pageBreakBefore w:val="0"/>
        <w:widowControl/>
        <w:kinsoku/>
        <w:wordWrap/>
        <w:overflowPunct/>
        <w:topLinePunct w:val="0"/>
        <w:autoSpaceDE/>
        <w:autoSpaceDN/>
        <w:bidi w:val="0"/>
        <w:adjustRightInd w:val="0"/>
        <w:snapToGrid/>
        <w:spacing w:line="560" w:lineRule="exact"/>
        <w:ind w:firstLine="640" w:firstLineChars="200"/>
        <w:contextualSpacing/>
        <w:jc w:val="left"/>
        <w:textAlignment w:val="auto"/>
        <w:outlineLvl w:val="9"/>
        <w:rPr>
          <w:rFonts w:hint="default" w:ascii="Times New Roman" w:hAnsi="Times New Roman" w:eastAsia="黑体" w:cs="Times New Roman"/>
          <w:b w:val="0"/>
          <w:bCs w:val="0"/>
          <w:color w:val="auto"/>
          <w:kern w:val="0"/>
          <w:sz w:val="32"/>
          <w:szCs w:val="32"/>
          <w:highlight w:val="none"/>
          <w:shd w:val="clear" w:color="auto" w:fill="FFFFFF"/>
        </w:rPr>
      </w:pPr>
      <w:r>
        <w:rPr>
          <w:rFonts w:hint="default" w:ascii="Times New Roman" w:hAnsi="Times New Roman" w:eastAsia="黑体" w:cs="Times New Roman"/>
          <w:b w:val="0"/>
          <w:bCs w:val="0"/>
          <w:color w:val="auto"/>
          <w:kern w:val="0"/>
          <w:sz w:val="32"/>
          <w:szCs w:val="32"/>
          <w:highlight w:val="none"/>
          <w:shd w:val="clear" w:color="auto" w:fill="FFFFFF"/>
          <w:lang w:eastAsia="zh-CN"/>
        </w:rPr>
        <w:t>四、</w:t>
      </w:r>
      <w:r>
        <w:rPr>
          <w:rFonts w:hint="default" w:ascii="Times New Roman" w:hAnsi="Times New Roman" w:eastAsia="黑体" w:cs="Times New Roman"/>
          <w:b w:val="0"/>
          <w:bCs w:val="0"/>
          <w:color w:val="auto"/>
          <w:kern w:val="0"/>
          <w:sz w:val="32"/>
          <w:szCs w:val="32"/>
          <w:highlight w:val="none"/>
          <w:shd w:val="clear" w:color="auto" w:fill="FFFFFF"/>
        </w:rPr>
        <w:t>评价结论及建议</w:t>
      </w:r>
    </w:p>
    <w:p w14:paraId="39AB98D0">
      <w:pPr>
        <w:keepNext w:val="0"/>
        <w:keepLines w:val="0"/>
        <w:pageBreakBefore w:val="0"/>
        <w:widowControl/>
        <w:numPr>
          <w:ilvl w:val="0"/>
          <w:numId w:val="0"/>
        </w:numPr>
        <w:kinsoku/>
        <w:wordWrap/>
        <w:overflowPunct/>
        <w:topLinePunct w:val="0"/>
        <w:autoSpaceDE/>
        <w:autoSpaceDN/>
        <w:bidi w:val="0"/>
        <w:adjustRightInd w:val="0"/>
        <w:snapToGrid/>
        <w:spacing w:line="560" w:lineRule="exact"/>
        <w:ind w:firstLine="643" w:firstLineChars="200"/>
        <w:contextualSpacing/>
        <w:jc w:val="left"/>
        <w:textAlignment w:val="auto"/>
        <w:outlineLvl w:val="9"/>
        <w:rPr>
          <w:rFonts w:hint="default" w:ascii="Times New Roman" w:hAnsi="Times New Roman" w:eastAsia="楷体_GB2312" w:cs="Times New Roman"/>
          <w:b/>
          <w:bCs/>
          <w:color w:val="auto"/>
          <w:kern w:val="0"/>
          <w:sz w:val="32"/>
          <w:szCs w:val="32"/>
          <w:highlight w:val="none"/>
          <w:shd w:val="clear" w:color="auto" w:fill="FFFFFF"/>
          <w:lang w:val="zh-CN"/>
        </w:rPr>
      </w:pPr>
      <w:r>
        <w:rPr>
          <w:rFonts w:hint="eastAsia" w:ascii="Times New Roman" w:hAnsi="Times New Roman" w:eastAsia="楷体_GB2312" w:cs="Times New Roman"/>
          <w:b/>
          <w:bCs/>
          <w:color w:val="auto"/>
          <w:kern w:val="0"/>
          <w:sz w:val="32"/>
          <w:szCs w:val="32"/>
          <w:highlight w:val="none"/>
          <w:shd w:val="clear" w:color="auto" w:fill="FFFFFF"/>
          <w:lang w:val="zh-CN" w:eastAsia="zh-CN"/>
        </w:rPr>
        <w:t>（</w:t>
      </w:r>
      <w:r>
        <w:rPr>
          <w:rFonts w:hint="eastAsia" w:ascii="Times New Roman" w:hAnsi="Times New Roman" w:eastAsia="楷体_GB2312" w:cs="Times New Roman"/>
          <w:b/>
          <w:bCs/>
          <w:color w:val="auto"/>
          <w:kern w:val="0"/>
          <w:sz w:val="32"/>
          <w:szCs w:val="32"/>
          <w:highlight w:val="none"/>
          <w:shd w:val="clear" w:color="auto" w:fill="FFFFFF"/>
          <w:lang w:val="en-US" w:eastAsia="zh-CN"/>
        </w:rPr>
        <w:t>一</w:t>
      </w:r>
      <w:r>
        <w:rPr>
          <w:rFonts w:hint="eastAsia" w:ascii="Times New Roman" w:hAnsi="Times New Roman" w:eastAsia="楷体_GB2312" w:cs="Times New Roman"/>
          <w:b/>
          <w:bCs/>
          <w:color w:val="auto"/>
          <w:kern w:val="0"/>
          <w:sz w:val="32"/>
          <w:szCs w:val="32"/>
          <w:highlight w:val="none"/>
          <w:shd w:val="clear" w:color="auto" w:fill="FFFFFF"/>
          <w:lang w:val="zh-CN" w:eastAsia="zh-CN"/>
        </w:rPr>
        <w:t>）</w:t>
      </w:r>
      <w:r>
        <w:rPr>
          <w:rFonts w:hint="eastAsia" w:eastAsia="楷体_GB2312" w:cs="Times New Roman"/>
          <w:b/>
          <w:bCs/>
          <w:color w:val="auto"/>
          <w:kern w:val="0"/>
          <w:sz w:val="32"/>
          <w:szCs w:val="32"/>
          <w:highlight w:val="none"/>
          <w:shd w:val="clear" w:color="auto" w:fill="FFFFFF"/>
          <w:lang w:val="en-US" w:eastAsia="zh-CN"/>
        </w:rPr>
        <w:t>评价结论</w:t>
      </w:r>
      <w:r>
        <w:rPr>
          <w:rFonts w:hint="default" w:ascii="Times New Roman" w:hAnsi="Times New Roman" w:eastAsia="楷体_GB2312" w:cs="Times New Roman"/>
          <w:b/>
          <w:bCs/>
          <w:color w:val="auto"/>
          <w:kern w:val="0"/>
          <w:sz w:val="32"/>
          <w:szCs w:val="32"/>
          <w:highlight w:val="none"/>
          <w:shd w:val="clear" w:color="auto" w:fill="FFFFFF"/>
          <w:lang w:val="zh-CN"/>
        </w:rPr>
        <w:t>。</w:t>
      </w:r>
    </w:p>
    <w:p w14:paraId="0A2C02E5">
      <w:pPr>
        <w:keepNext w:val="0"/>
        <w:keepLines w:val="0"/>
        <w:pageBreakBefore w:val="0"/>
        <w:widowControl/>
        <w:numPr>
          <w:ilvl w:val="0"/>
          <w:numId w:val="0"/>
        </w:numPr>
        <w:kinsoku/>
        <w:wordWrap/>
        <w:overflowPunct/>
        <w:topLinePunct w:val="0"/>
        <w:autoSpaceDE/>
        <w:autoSpaceDN/>
        <w:bidi w:val="0"/>
        <w:adjustRightInd w:val="0"/>
        <w:snapToGrid/>
        <w:spacing w:line="560" w:lineRule="exact"/>
        <w:ind w:firstLine="608" w:firstLineChars="200"/>
        <w:contextualSpacing/>
        <w:jc w:val="left"/>
        <w:textAlignment w:val="auto"/>
        <w:outlineLvl w:val="9"/>
        <w:rPr>
          <w:rFonts w:hint="default"/>
          <w:color w:val="auto"/>
          <w:sz w:val="32"/>
          <w:szCs w:val="32"/>
          <w:lang w:val="en-US"/>
        </w:rPr>
      </w:pPr>
      <w:r>
        <w:rPr>
          <w:rFonts w:hint="eastAsia" w:ascii="仿宋_GB2312" w:hAnsi="仿宋_GB2312" w:cs="仿宋_GB2312"/>
          <w:b w:val="0"/>
          <w:bCs w:val="0"/>
          <w:color w:val="auto"/>
          <w:w w:val="95"/>
          <w:kern w:val="0"/>
          <w:position w:val="0"/>
          <w:sz w:val="32"/>
          <w:szCs w:val="32"/>
          <w:highlight w:val="none"/>
          <w:lang w:val="en-US" w:eastAsia="zh-CN" w:bidi="ar-SA"/>
        </w:rPr>
        <w:t>通过加强绩效预算，财政资金得到有效利用，行政效率得到提高，促进了各项工作顺利开展。结合工作开展情况，我局2024年度支出绩效综合评价自评得分92.3分。顺利完成履职效果目标数量，预算管理严谨， 财务管理制度完善合理，目标设置合理。</w:t>
      </w:r>
    </w:p>
    <w:p w14:paraId="10B32C5D">
      <w:pPr>
        <w:keepNext w:val="0"/>
        <w:keepLines w:val="0"/>
        <w:pageBreakBefore w:val="0"/>
        <w:widowControl w:val="0"/>
        <w:numPr>
          <w:ilvl w:val="0"/>
          <w:numId w:val="3"/>
        </w:numPr>
        <w:kinsoku/>
        <w:wordWrap/>
        <w:overflowPunct/>
        <w:topLinePunct w:val="0"/>
        <w:autoSpaceDE/>
        <w:autoSpaceDN/>
        <w:bidi w:val="0"/>
        <w:adjustRightInd/>
        <w:snapToGrid/>
        <w:spacing w:afterAutospacing="0" w:line="560" w:lineRule="exact"/>
        <w:ind w:firstLine="643" w:firstLineChars="200"/>
        <w:textAlignment w:val="auto"/>
        <w:outlineLvl w:val="9"/>
        <w:rPr>
          <w:rFonts w:hint="default" w:ascii="Times New Roman" w:hAnsi="Times New Roman" w:eastAsia="楷体_GB2312" w:cs="Times New Roman"/>
          <w:b/>
          <w:bCs/>
          <w:color w:val="auto"/>
          <w:kern w:val="0"/>
          <w:sz w:val="32"/>
          <w:szCs w:val="32"/>
          <w:highlight w:val="none"/>
          <w:shd w:val="clear" w:color="auto" w:fill="FFFFFF"/>
          <w:lang w:val="zh-CN"/>
        </w:rPr>
      </w:pPr>
      <w:r>
        <w:rPr>
          <w:rFonts w:hint="default" w:ascii="Times New Roman" w:hAnsi="Times New Roman" w:eastAsia="楷体_GB2312" w:cs="Times New Roman"/>
          <w:b/>
          <w:bCs/>
          <w:color w:val="auto"/>
          <w:sz w:val="32"/>
          <w:szCs w:val="32"/>
          <w:lang w:val="zh-CN"/>
        </w:rPr>
        <w:t>存在问题</w:t>
      </w:r>
      <w:r>
        <w:rPr>
          <w:rFonts w:hint="default" w:ascii="Times New Roman" w:hAnsi="Times New Roman" w:eastAsia="楷体_GB2312" w:cs="Times New Roman"/>
          <w:b/>
          <w:bCs/>
          <w:color w:val="auto"/>
          <w:kern w:val="0"/>
          <w:sz w:val="32"/>
          <w:szCs w:val="32"/>
          <w:highlight w:val="none"/>
          <w:shd w:val="clear" w:color="auto" w:fill="FFFFFF"/>
          <w:lang w:val="zh-CN"/>
        </w:rPr>
        <w:t>。</w:t>
      </w:r>
    </w:p>
    <w:p w14:paraId="1D1FBEA7">
      <w:pPr>
        <w:keepNext w:val="0"/>
        <w:keepLines w:val="0"/>
        <w:pageBreakBefore w:val="0"/>
        <w:widowControl w:val="0"/>
        <w:numPr>
          <w:ilvl w:val="0"/>
          <w:numId w:val="0"/>
        </w:numPr>
        <w:kinsoku/>
        <w:wordWrap/>
        <w:overflowPunct/>
        <w:topLinePunct w:val="0"/>
        <w:autoSpaceDE/>
        <w:autoSpaceDN/>
        <w:bidi w:val="0"/>
        <w:adjustRightInd/>
        <w:snapToGrid/>
        <w:spacing w:afterAutospacing="0" w:line="560" w:lineRule="exact"/>
        <w:ind w:firstLine="608" w:firstLineChars="200"/>
        <w:textAlignment w:val="auto"/>
        <w:outlineLvl w:val="9"/>
        <w:rPr>
          <w:rFonts w:hint="eastAsia" w:ascii="仿宋_GB2312" w:hAnsi="仿宋_GB2312" w:eastAsia="仿宋_GB2312" w:cs="仿宋_GB2312"/>
          <w:b w:val="0"/>
          <w:bCs w:val="0"/>
          <w:color w:val="auto"/>
          <w:w w:val="95"/>
          <w:kern w:val="0"/>
          <w:position w:val="0"/>
          <w:sz w:val="32"/>
          <w:szCs w:val="32"/>
          <w:highlight w:val="none"/>
          <w:lang w:val="en-US" w:eastAsia="zh-CN" w:bidi="ar-SA"/>
        </w:rPr>
      </w:pPr>
      <w:r>
        <w:rPr>
          <w:rFonts w:hint="eastAsia" w:ascii="仿宋_GB2312" w:hAnsi="仿宋_GB2312" w:eastAsia="仿宋_GB2312" w:cs="仿宋_GB2312"/>
          <w:b w:val="0"/>
          <w:bCs w:val="0"/>
          <w:color w:val="auto"/>
          <w:w w:val="95"/>
          <w:kern w:val="0"/>
          <w:position w:val="0"/>
          <w:sz w:val="32"/>
          <w:szCs w:val="32"/>
          <w:highlight w:val="none"/>
          <w:lang w:val="en-US" w:eastAsia="zh-CN" w:bidi="ar-SA"/>
        </w:rPr>
        <w:t>一是单位工作任务重，财务人员紧缺，存在一人多岗。二是对财务人员的业务知识提升培训力度不够。三是预算编制准确度有待提高，存在中期追加、期末追减情况。四是1-6月中期预算执行进度有待提高；五是政府采购执行进度支付比率有待提高。</w:t>
      </w:r>
    </w:p>
    <w:p w14:paraId="54421EEA">
      <w:pPr>
        <w:keepNext w:val="0"/>
        <w:keepLines w:val="0"/>
        <w:pageBreakBefore w:val="0"/>
        <w:widowControl w:val="0"/>
        <w:numPr>
          <w:ilvl w:val="0"/>
          <w:numId w:val="3"/>
        </w:numPr>
        <w:kinsoku/>
        <w:wordWrap/>
        <w:overflowPunct/>
        <w:topLinePunct w:val="0"/>
        <w:autoSpaceDE/>
        <w:autoSpaceDN/>
        <w:bidi w:val="0"/>
        <w:adjustRightInd/>
        <w:snapToGrid/>
        <w:spacing w:afterAutospacing="0" w:line="560" w:lineRule="exact"/>
        <w:ind w:left="0" w:leftChars="0" w:firstLine="643" w:firstLineChars="200"/>
        <w:textAlignment w:val="auto"/>
        <w:outlineLvl w:val="9"/>
        <w:rPr>
          <w:rFonts w:hint="default" w:ascii="Times New Roman" w:hAnsi="Times New Roman" w:eastAsia="楷体_GB2312" w:cs="Times New Roman"/>
          <w:b/>
          <w:bCs/>
          <w:color w:val="auto"/>
          <w:kern w:val="0"/>
          <w:sz w:val="32"/>
          <w:szCs w:val="32"/>
          <w:highlight w:val="none"/>
          <w:shd w:val="clear" w:color="auto" w:fill="FFFFFF"/>
          <w:lang w:val="zh-CN" w:eastAsia="zh-CN"/>
        </w:rPr>
      </w:pPr>
      <w:r>
        <w:rPr>
          <w:rFonts w:hint="default" w:ascii="Times New Roman" w:hAnsi="Times New Roman" w:eastAsia="楷体_GB2312" w:cs="Times New Roman"/>
          <w:b/>
          <w:bCs/>
          <w:color w:val="auto"/>
          <w:kern w:val="0"/>
          <w:sz w:val="32"/>
          <w:szCs w:val="32"/>
          <w:highlight w:val="none"/>
          <w:shd w:val="clear" w:color="auto" w:fill="FFFFFF"/>
          <w:lang w:val="zh-CN" w:eastAsia="zh-CN"/>
        </w:rPr>
        <w:t>改进建议。</w:t>
      </w:r>
    </w:p>
    <w:p w14:paraId="64CCC19A">
      <w:pPr>
        <w:keepNext w:val="0"/>
        <w:keepLines w:val="0"/>
        <w:pageBreakBefore w:val="0"/>
        <w:widowControl w:val="0"/>
        <w:numPr>
          <w:ilvl w:val="0"/>
          <w:numId w:val="0"/>
        </w:numPr>
        <w:kinsoku/>
        <w:wordWrap/>
        <w:overflowPunct/>
        <w:topLinePunct w:val="0"/>
        <w:autoSpaceDE/>
        <w:autoSpaceDN/>
        <w:bidi w:val="0"/>
        <w:adjustRightInd/>
        <w:snapToGrid/>
        <w:spacing w:afterAutospacing="0" w:line="560" w:lineRule="exact"/>
        <w:ind w:firstLine="608" w:firstLineChars="200"/>
        <w:textAlignment w:val="auto"/>
        <w:outlineLvl w:val="9"/>
        <w:rPr>
          <w:rFonts w:hint="eastAsia" w:ascii="仿宋_GB2312" w:hAnsi="仿宋_GB2312" w:eastAsia="仿宋_GB2312" w:cs="仿宋_GB2312"/>
          <w:b w:val="0"/>
          <w:bCs w:val="0"/>
          <w:w w:val="95"/>
          <w:kern w:val="0"/>
          <w:position w:val="0"/>
          <w:sz w:val="32"/>
          <w:szCs w:val="32"/>
          <w:highlight w:val="none"/>
          <w:lang w:val="en-US" w:eastAsia="zh-CN" w:bidi="ar-SA"/>
        </w:rPr>
      </w:pPr>
      <w:r>
        <w:rPr>
          <w:rFonts w:hint="eastAsia" w:ascii="仿宋_GB2312" w:hAnsi="仿宋_GB2312" w:eastAsia="仿宋_GB2312" w:cs="仿宋_GB2312"/>
          <w:b w:val="0"/>
          <w:bCs w:val="0"/>
          <w:color w:val="auto"/>
          <w:w w:val="95"/>
          <w:kern w:val="0"/>
          <w:position w:val="0"/>
          <w:sz w:val="32"/>
          <w:szCs w:val="32"/>
          <w:highlight w:val="none"/>
          <w:lang w:val="en-US" w:eastAsia="zh-CN" w:bidi="ar-SA"/>
        </w:rPr>
        <w:t>一是下一步我局将完善、明确和细化各项财务管理制度，并严格</w:t>
      </w:r>
      <w:r>
        <w:rPr>
          <w:rFonts w:hint="eastAsia" w:ascii="仿宋_GB2312" w:hAnsi="仿宋_GB2312" w:eastAsia="仿宋_GB2312" w:cs="仿宋_GB2312"/>
          <w:b w:val="0"/>
          <w:bCs w:val="0"/>
          <w:w w:val="95"/>
          <w:kern w:val="0"/>
          <w:position w:val="0"/>
          <w:sz w:val="32"/>
          <w:szCs w:val="32"/>
          <w:highlight w:val="none"/>
          <w:lang w:val="en-US" w:eastAsia="zh-CN" w:bidi="ar-SA"/>
        </w:rPr>
        <w:t>按制度执行；二是建议财政部门加大各单位会计人员业务能力提升的培训。</w:t>
      </w:r>
    </w:p>
    <w:p w14:paraId="4F67E8EB">
      <w:pPr>
        <w:keepNext w:val="0"/>
        <w:keepLines w:val="0"/>
        <w:pageBreakBefore w:val="0"/>
        <w:kinsoku/>
        <w:wordWrap/>
        <w:overflowPunct/>
        <w:topLinePunct w:val="0"/>
        <w:autoSpaceDE/>
        <w:autoSpaceDN/>
        <w:bidi w:val="0"/>
        <w:snapToGrid/>
        <w:spacing w:line="560" w:lineRule="exact"/>
        <w:textAlignment w:val="auto"/>
        <w:rPr>
          <w:rFonts w:hint="default" w:ascii="Times New Roman" w:hAnsi="Times New Roman" w:cs="Times New Roman"/>
          <w:color w:val="000000"/>
          <w:kern w:val="0"/>
          <w:sz w:val="32"/>
          <w:szCs w:val="32"/>
          <w:highlight w:val="none"/>
          <w:shd w:val="clear" w:color="auto" w:fill="FFFFFF"/>
          <w:lang w:val="en-US" w:eastAsia="zh-CN"/>
        </w:rPr>
      </w:pPr>
    </w:p>
    <w:p w14:paraId="1D035B11">
      <w:pPr>
        <w:keepNext w:val="0"/>
        <w:keepLines w:val="0"/>
        <w:pageBreakBefore w:val="0"/>
        <w:widowControl/>
        <w:suppressLineNumbers w:val="0"/>
        <w:kinsoku/>
        <w:wordWrap/>
        <w:overflowPunct/>
        <w:topLinePunct w:val="0"/>
        <w:autoSpaceDE/>
        <w:autoSpaceDN/>
        <w:bidi w:val="0"/>
        <w:adjustRightInd/>
        <w:snapToGrid/>
        <w:spacing w:line="570" w:lineRule="exact"/>
        <w:ind w:firstLine="4800" w:firstLineChars="1500"/>
        <w:jc w:val="left"/>
        <w:textAlignment w:val="auto"/>
        <w:rPr>
          <w:rFonts w:hint="eastAsia" w:ascii="仿宋_GB2312" w:hAnsi="仿宋_GB2312" w:eastAsia="仿宋_GB2312" w:cs="仿宋_GB2312"/>
          <w:sz w:val="32"/>
          <w:szCs w:val="32"/>
          <w:lang w:val="en-US" w:eastAsia="zh-CN"/>
        </w:rPr>
      </w:pPr>
    </w:p>
    <w:p w14:paraId="59A121CA">
      <w:pPr>
        <w:keepNext w:val="0"/>
        <w:keepLines w:val="0"/>
        <w:pageBreakBefore w:val="0"/>
        <w:widowControl/>
        <w:suppressLineNumbers w:val="0"/>
        <w:kinsoku/>
        <w:wordWrap/>
        <w:overflowPunct/>
        <w:topLinePunct w:val="0"/>
        <w:autoSpaceDE/>
        <w:autoSpaceDN/>
        <w:bidi w:val="0"/>
        <w:adjustRightInd/>
        <w:snapToGrid/>
        <w:spacing w:line="570" w:lineRule="exact"/>
        <w:ind w:firstLine="4800" w:firstLineChars="1500"/>
        <w:jc w:val="left"/>
        <w:textAlignment w:val="auto"/>
        <w:rPr>
          <w:rFonts w:hint="eastAsia" w:ascii="仿宋_GB2312" w:hAnsi="仿宋_GB2312" w:eastAsia="仿宋_GB2312" w:cs="仿宋_GB2312"/>
          <w:sz w:val="32"/>
          <w:szCs w:val="32"/>
          <w:lang w:val="en-US" w:eastAsia="zh-CN"/>
        </w:rPr>
      </w:pPr>
    </w:p>
    <w:p w14:paraId="0614C327">
      <w:pPr>
        <w:keepNext w:val="0"/>
        <w:keepLines w:val="0"/>
        <w:pageBreakBefore w:val="0"/>
        <w:widowControl w:val="0"/>
        <w:kinsoku/>
        <w:wordWrap/>
        <w:overflowPunct/>
        <w:topLinePunct w:val="0"/>
        <w:autoSpaceDE/>
        <w:autoSpaceDN/>
        <w:bidi w:val="0"/>
        <w:adjustRightInd/>
        <w:snapToGrid/>
        <w:spacing w:line="540" w:lineRule="exact"/>
        <w:ind w:firstLine="4800" w:firstLineChars="1500"/>
        <w:jc w:val="left"/>
        <w:textAlignment w:val="auto"/>
        <w:rPr>
          <w:rFonts w:hint="eastAsia" w:ascii="仿宋" w:hAnsi="仿宋" w:eastAsia="仿宋" w:cs="仿宋"/>
          <w:b w:val="0"/>
          <w:i w:val="0"/>
          <w:caps w:val="0"/>
          <w:color w:val="000000"/>
          <w:spacing w:val="0"/>
          <w:kern w:val="44"/>
          <w:sz w:val="32"/>
          <w:szCs w:val="32"/>
          <w:shd w:val="clear" w:color="auto" w:fill="FFFFFF"/>
          <w:lang w:val="en-US" w:eastAsia="zh-CN" w:bidi="ar"/>
        </w:rPr>
      </w:pPr>
      <w:r>
        <w:rPr>
          <w:rFonts w:hint="eastAsia" w:ascii="仿宋" w:hAnsi="仿宋" w:eastAsia="仿宋" w:cs="仿宋"/>
          <w:b w:val="0"/>
          <w:i w:val="0"/>
          <w:caps w:val="0"/>
          <w:color w:val="000000"/>
          <w:spacing w:val="0"/>
          <w:kern w:val="44"/>
          <w:sz w:val="32"/>
          <w:szCs w:val="32"/>
          <w:shd w:val="clear" w:color="auto" w:fill="FFFFFF"/>
          <w:lang w:val="en-US" w:eastAsia="zh-CN" w:bidi="ar"/>
        </w:rPr>
        <w:t>黑水县林业和草原局</w:t>
      </w:r>
    </w:p>
    <w:p w14:paraId="2B5F6037">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lang w:val="en-US" w:eastAsia="zh-CN"/>
        </w:rPr>
      </w:pPr>
      <w:r>
        <w:rPr>
          <w:rFonts w:hint="eastAsia" w:ascii="仿宋" w:hAnsi="仿宋" w:eastAsia="仿宋" w:cs="仿宋"/>
          <w:b w:val="0"/>
          <w:i w:val="0"/>
          <w:caps w:val="0"/>
          <w:color w:val="000000"/>
          <w:spacing w:val="0"/>
          <w:kern w:val="44"/>
          <w:sz w:val="32"/>
          <w:szCs w:val="32"/>
          <w:shd w:val="clear" w:color="auto" w:fill="FFFFFF"/>
          <w:lang w:val="en-US" w:eastAsia="zh-CN" w:bidi="ar"/>
        </w:rPr>
        <w:t xml:space="preserve">                           2025年8月29日</w:t>
      </w:r>
    </w:p>
    <w:sectPr>
      <w:headerReference r:id="rId3" w:type="default"/>
      <w:footerReference r:id="rId4" w:type="default"/>
      <w:pgSz w:w="11906" w:h="16838"/>
      <w:pgMar w:top="2098" w:right="1474" w:bottom="1984" w:left="1587" w:header="851" w:footer="992" w:gutter="0"/>
      <w:pgNumType w:fmt="numberInDash"/>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
    <w:altName w:val="仿宋"/>
    <w:panose1 w:val="00000000000000000000"/>
    <w:charset w:val="00"/>
    <w:family w:val="roman"/>
    <w:pitch w:val="default"/>
    <w:sig w:usb0="00000000" w:usb1="00000000" w:usb2="00000000" w:usb3="00000000" w:csb0="00000000" w:csb1="00000000"/>
  </w:font>
  <w:font w:name="Wingdings 2">
    <w:panose1 w:val="05020102010507070707"/>
    <w:charset w:val="00"/>
    <w:family w:val="auto"/>
    <w:pitch w:val="default"/>
    <w:sig w:usb0="00000000" w:usb1="00000000" w:usb2="00000000" w:usb3="00000000" w:csb0="80000000" w:csb1="00000000"/>
  </w:font>
  <w:font w:name="方正小标宋_GBK">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4F7B9D">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E3D212">
                          <w:pPr>
                            <w:pStyle w:val="7"/>
                            <w:ind w:right="451" w:rightChars="141"/>
                            <w:jc w:val="right"/>
                            <w:rPr>
                              <w:rFonts w:hint="eastAsia"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3 -</w:t>
                          </w:r>
                          <w:r>
                            <w:rPr>
                              <w:rFonts w:ascii="宋体" w:hAnsi="宋体"/>
                              <w:sz w:val="28"/>
                              <w:szCs w:val="28"/>
                            </w:rPr>
                            <w:fldChar w:fldCharType="end"/>
                          </w:r>
                        </w:p>
                        <w:p w14:paraId="5054DB15"/>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53E3D212">
                    <w:pPr>
                      <w:pStyle w:val="7"/>
                      <w:ind w:right="451" w:rightChars="141"/>
                      <w:jc w:val="right"/>
                      <w:rPr>
                        <w:rFonts w:hint="eastAsia"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3 -</w:t>
                    </w:r>
                    <w:r>
                      <w:rPr>
                        <w:rFonts w:ascii="宋体" w:hAnsi="宋体"/>
                        <w:sz w:val="28"/>
                        <w:szCs w:val="28"/>
                      </w:rPr>
                      <w:fldChar w:fldCharType="end"/>
                    </w:r>
                  </w:p>
                  <w:p w14:paraId="5054DB15"/>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A400D2">
    <w:pPr>
      <w:pStyle w:val="8"/>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AB59CEF"/>
    <w:multiLevelType w:val="singleLevel"/>
    <w:tmpl w:val="EAB59CEF"/>
    <w:lvl w:ilvl="0" w:tentative="0">
      <w:start w:val="2"/>
      <w:numFmt w:val="chineseCounting"/>
      <w:suff w:val="nothing"/>
      <w:lvlText w:val="（%1）"/>
      <w:lvlJc w:val="left"/>
      <w:rPr>
        <w:rFonts w:hint="eastAsia"/>
      </w:rPr>
    </w:lvl>
  </w:abstractNum>
  <w:abstractNum w:abstractNumId="1">
    <w:nsid w:val="1E7E7240"/>
    <w:multiLevelType w:val="singleLevel"/>
    <w:tmpl w:val="1E7E7240"/>
    <w:lvl w:ilvl="0" w:tentative="0">
      <w:start w:val="3"/>
      <w:numFmt w:val="decimal"/>
      <w:suff w:val="nothing"/>
      <w:lvlText w:val="（%1）"/>
      <w:lvlJc w:val="left"/>
    </w:lvl>
  </w:abstractNum>
  <w:abstractNum w:abstractNumId="2">
    <w:nsid w:val="7F769987"/>
    <w:multiLevelType w:val="singleLevel"/>
    <w:tmpl w:val="7F769987"/>
    <w:lvl w:ilvl="0" w:tentative="0">
      <w:start w:val="2"/>
      <w:numFmt w:val="chineseCounting"/>
      <w:suff w:val="nothing"/>
      <w:lvlText w:val="（%1）"/>
      <w:lvlJc w:val="left"/>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60"/>
  <w:drawingGridVerticalSpacing w:val="43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MwMGRhYWMyYjE1NjY0OWU0YzE4ZmIwYzc4OWVmMGQifQ=="/>
  </w:docVars>
  <w:rsids>
    <w:rsidRoot w:val="00EC0174"/>
    <w:rsid w:val="00006E4D"/>
    <w:rsid w:val="00021652"/>
    <w:rsid w:val="00030311"/>
    <w:rsid w:val="00030782"/>
    <w:rsid w:val="00030B66"/>
    <w:rsid w:val="0006102A"/>
    <w:rsid w:val="00065B0F"/>
    <w:rsid w:val="00065E7E"/>
    <w:rsid w:val="000820BB"/>
    <w:rsid w:val="0008241B"/>
    <w:rsid w:val="00092280"/>
    <w:rsid w:val="00097FAE"/>
    <w:rsid w:val="000A3233"/>
    <w:rsid w:val="000A7CE3"/>
    <w:rsid w:val="000B04D6"/>
    <w:rsid w:val="000B15CE"/>
    <w:rsid w:val="000C40C6"/>
    <w:rsid w:val="000C79C1"/>
    <w:rsid w:val="000D208A"/>
    <w:rsid w:val="000E037E"/>
    <w:rsid w:val="000F659A"/>
    <w:rsid w:val="000F77B0"/>
    <w:rsid w:val="0010235D"/>
    <w:rsid w:val="00103A47"/>
    <w:rsid w:val="00106D4D"/>
    <w:rsid w:val="001119A2"/>
    <w:rsid w:val="001221D6"/>
    <w:rsid w:val="0012510A"/>
    <w:rsid w:val="00125F67"/>
    <w:rsid w:val="001261AE"/>
    <w:rsid w:val="001348A4"/>
    <w:rsid w:val="0014117C"/>
    <w:rsid w:val="00146FE8"/>
    <w:rsid w:val="0014767B"/>
    <w:rsid w:val="00147AED"/>
    <w:rsid w:val="00177AAF"/>
    <w:rsid w:val="00183850"/>
    <w:rsid w:val="00184D9F"/>
    <w:rsid w:val="001A4749"/>
    <w:rsid w:val="001A4842"/>
    <w:rsid w:val="001A5833"/>
    <w:rsid w:val="001C2158"/>
    <w:rsid w:val="001C51F2"/>
    <w:rsid w:val="001C73AB"/>
    <w:rsid w:val="001D2EA4"/>
    <w:rsid w:val="001F47CE"/>
    <w:rsid w:val="001F5776"/>
    <w:rsid w:val="0020620D"/>
    <w:rsid w:val="002069BC"/>
    <w:rsid w:val="002069EB"/>
    <w:rsid w:val="002201B0"/>
    <w:rsid w:val="00220900"/>
    <w:rsid w:val="0022307E"/>
    <w:rsid w:val="00224D05"/>
    <w:rsid w:val="002323A3"/>
    <w:rsid w:val="00236EF7"/>
    <w:rsid w:val="0024058A"/>
    <w:rsid w:val="002410C0"/>
    <w:rsid w:val="00252894"/>
    <w:rsid w:val="00253FA6"/>
    <w:rsid w:val="00254728"/>
    <w:rsid w:val="002550E7"/>
    <w:rsid w:val="002558D4"/>
    <w:rsid w:val="002560E2"/>
    <w:rsid w:val="00264CFA"/>
    <w:rsid w:val="00270DD7"/>
    <w:rsid w:val="00276F4A"/>
    <w:rsid w:val="00280BFB"/>
    <w:rsid w:val="00280C88"/>
    <w:rsid w:val="002973A4"/>
    <w:rsid w:val="002A0195"/>
    <w:rsid w:val="002B5B34"/>
    <w:rsid w:val="002B6906"/>
    <w:rsid w:val="002B7215"/>
    <w:rsid w:val="002C0AFD"/>
    <w:rsid w:val="002C59D0"/>
    <w:rsid w:val="002D1A18"/>
    <w:rsid w:val="002D6C79"/>
    <w:rsid w:val="002E1104"/>
    <w:rsid w:val="002E3FDD"/>
    <w:rsid w:val="00300EF4"/>
    <w:rsid w:val="00301353"/>
    <w:rsid w:val="00305FF6"/>
    <w:rsid w:val="00307568"/>
    <w:rsid w:val="00311506"/>
    <w:rsid w:val="00316ADB"/>
    <w:rsid w:val="00317623"/>
    <w:rsid w:val="00335F67"/>
    <w:rsid w:val="003361E9"/>
    <w:rsid w:val="00350A65"/>
    <w:rsid w:val="00361C85"/>
    <w:rsid w:val="00371352"/>
    <w:rsid w:val="00376753"/>
    <w:rsid w:val="0038541D"/>
    <w:rsid w:val="00387818"/>
    <w:rsid w:val="00391A13"/>
    <w:rsid w:val="00391FD0"/>
    <w:rsid w:val="003A44FC"/>
    <w:rsid w:val="003B3299"/>
    <w:rsid w:val="003D10A2"/>
    <w:rsid w:val="003D33B8"/>
    <w:rsid w:val="003D624D"/>
    <w:rsid w:val="003D719A"/>
    <w:rsid w:val="003F5EB7"/>
    <w:rsid w:val="003F7FE2"/>
    <w:rsid w:val="004004E7"/>
    <w:rsid w:val="00416E1A"/>
    <w:rsid w:val="00426A3F"/>
    <w:rsid w:val="004277D4"/>
    <w:rsid w:val="00461638"/>
    <w:rsid w:val="004706FA"/>
    <w:rsid w:val="00474D8D"/>
    <w:rsid w:val="00475CCD"/>
    <w:rsid w:val="00477266"/>
    <w:rsid w:val="004811BC"/>
    <w:rsid w:val="004838F2"/>
    <w:rsid w:val="00486492"/>
    <w:rsid w:val="00492CF6"/>
    <w:rsid w:val="004A4C9D"/>
    <w:rsid w:val="004C2078"/>
    <w:rsid w:val="004C228F"/>
    <w:rsid w:val="004E752F"/>
    <w:rsid w:val="004F1E37"/>
    <w:rsid w:val="00515198"/>
    <w:rsid w:val="00521C44"/>
    <w:rsid w:val="005274E1"/>
    <w:rsid w:val="00531DDF"/>
    <w:rsid w:val="00535FA6"/>
    <w:rsid w:val="00542AB7"/>
    <w:rsid w:val="0055358D"/>
    <w:rsid w:val="005540C8"/>
    <w:rsid w:val="00555809"/>
    <w:rsid w:val="00562165"/>
    <w:rsid w:val="005756AF"/>
    <w:rsid w:val="00575A4A"/>
    <w:rsid w:val="00591B6F"/>
    <w:rsid w:val="005A1DAF"/>
    <w:rsid w:val="005C17C8"/>
    <w:rsid w:val="005C2098"/>
    <w:rsid w:val="005C2E6C"/>
    <w:rsid w:val="005D0CCF"/>
    <w:rsid w:val="005D1C01"/>
    <w:rsid w:val="005E297D"/>
    <w:rsid w:val="005E3F12"/>
    <w:rsid w:val="005F627E"/>
    <w:rsid w:val="0061652E"/>
    <w:rsid w:val="006205E9"/>
    <w:rsid w:val="00622D0B"/>
    <w:rsid w:val="006270DA"/>
    <w:rsid w:val="00630B75"/>
    <w:rsid w:val="00634DFF"/>
    <w:rsid w:val="00635337"/>
    <w:rsid w:val="0064265B"/>
    <w:rsid w:val="0064519C"/>
    <w:rsid w:val="0065082E"/>
    <w:rsid w:val="006512D0"/>
    <w:rsid w:val="006560A3"/>
    <w:rsid w:val="00656301"/>
    <w:rsid w:val="006600C9"/>
    <w:rsid w:val="006701CC"/>
    <w:rsid w:val="00671F58"/>
    <w:rsid w:val="006762A4"/>
    <w:rsid w:val="006900E7"/>
    <w:rsid w:val="006A00A8"/>
    <w:rsid w:val="006A482D"/>
    <w:rsid w:val="006B11E0"/>
    <w:rsid w:val="006B386A"/>
    <w:rsid w:val="006B7CB4"/>
    <w:rsid w:val="006C24D3"/>
    <w:rsid w:val="006C7917"/>
    <w:rsid w:val="006E51AE"/>
    <w:rsid w:val="0070081F"/>
    <w:rsid w:val="007018F5"/>
    <w:rsid w:val="00710897"/>
    <w:rsid w:val="00712F45"/>
    <w:rsid w:val="00734305"/>
    <w:rsid w:val="007370E1"/>
    <w:rsid w:val="007732A1"/>
    <w:rsid w:val="00774C4A"/>
    <w:rsid w:val="00782BBB"/>
    <w:rsid w:val="007A0690"/>
    <w:rsid w:val="007A078F"/>
    <w:rsid w:val="007B34D4"/>
    <w:rsid w:val="007C0633"/>
    <w:rsid w:val="007D086C"/>
    <w:rsid w:val="007F1BE1"/>
    <w:rsid w:val="007F707F"/>
    <w:rsid w:val="007F794C"/>
    <w:rsid w:val="007F7AC9"/>
    <w:rsid w:val="00803B42"/>
    <w:rsid w:val="008073EF"/>
    <w:rsid w:val="0081095C"/>
    <w:rsid w:val="00810C41"/>
    <w:rsid w:val="008212FF"/>
    <w:rsid w:val="0082593B"/>
    <w:rsid w:val="00827537"/>
    <w:rsid w:val="008468EA"/>
    <w:rsid w:val="00867140"/>
    <w:rsid w:val="00881134"/>
    <w:rsid w:val="008904F0"/>
    <w:rsid w:val="008B2F27"/>
    <w:rsid w:val="008B4A72"/>
    <w:rsid w:val="008B585E"/>
    <w:rsid w:val="008E6C0C"/>
    <w:rsid w:val="008F1E63"/>
    <w:rsid w:val="008F3052"/>
    <w:rsid w:val="00901E19"/>
    <w:rsid w:val="009214F7"/>
    <w:rsid w:val="00921CD7"/>
    <w:rsid w:val="00940EB6"/>
    <w:rsid w:val="00944771"/>
    <w:rsid w:val="009601FC"/>
    <w:rsid w:val="00965426"/>
    <w:rsid w:val="0096654A"/>
    <w:rsid w:val="009711E4"/>
    <w:rsid w:val="00971572"/>
    <w:rsid w:val="00981E55"/>
    <w:rsid w:val="00986CEF"/>
    <w:rsid w:val="00987212"/>
    <w:rsid w:val="009A0E5F"/>
    <w:rsid w:val="009F1AF3"/>
    <w:rsid w:val="009F233E"/>
    <w:rsid w:val="00A024AB"/>
    <w:rsid w:val="00A050A5"/>
    <w:rsid w:val="00A05B8B"/>
    <w:rsid w:val="00A1372F"/>
    <w:rsid w:val="00A170EC"/>
    <w:rsid w:val="00A217B3"/>
    <w:rsid w:val="00A23D04"/>
    <w:rsid w:val="00A277D9"/>
    <w:rsid w:val="00A30CEB"/>
    <w:rsid w:val="00A31318"/>
    <w:rsid w:val="00A5432A"/>
    <w:rsid w:val="00A55F8A"/>
    <w:rsid w:val="00A9670E"/>
    <w:rsid w:val="00AA1423"/>
    <w:rsid w:val="00AB7996"/>
    <w:rsid w:val="00AC43C3"/>
    <w:rsid w:val="00AE2EAD"/>
    <w:rsid w:val="00AF77BE"/>
    <w:rsid w:val="00B11CEE"/>
    <w:rsid w:val="00B23428"/>
    <w:rsid w:val="00B264BF"/>
    <w:rsid w:val="00B42E74"/>
    <w:rsid w:val="00B46874"/>
    <w:rsid w:val="00B50E8F"/>
    <w:rsid w:val="00B51151"/>
    <w:rsid w:val="00B523E4"/>
    <w:rsid w:val="00B52B4F"/>
    <w:rsid w:val="00B6108C"/>
    <w:rsid w:val="00B649AD"/>
    <w:rsid w:val="00B64B9C"/>
    <w:rsid w:val="00B67A3E"/>
    <w:rsid w:val="00B735CC"/>
    <w:rsid w:val="00B82C95"/>
    <w:rsid w:val="00B83F87"/>
    <w:rsid w:val="00B84DFD"/>
    <w:rsid w:val="00BB4E38"/>
    <w:rsid w:val="00BC3879"/>
    <w:rsid w:val="00BD0E0D"/>
    <w:rsid w:val="00BD41BC"/>
    <w:rsid w:val="00BD55AD"/>
    <w:rsid w:val="00BE0305"/>
    <w:rsid w:val="00BF15F0"/>
    <w:rsid w:val="00BF7DF9"/>
    <w:rsid w:val="00C03559"/>
    <w:rsid w:val="00C05395"/>
    <w:rsid w:val="00C22AD7"/>
    <w:rsid w:val="00C272C1"/>
    <w:rsid w:val="00C32A68"/>
    <w:rsid w:val="00C34282"/>
    <w:rsid w:val="00C35350"/>
    <w:rsid w:val="00C3564B"/>
    <w:rsid w:val="00C53721"/>
    <w:rsid w:val="00C64D2E"/>
    <w:rsid w:val="00C70F97"/>
    <w:rsid w:val="00C7497C"/>
    <w:rsid w:val="00C757A2"/>
    <w:rsid w:val="00C75966"/>
    <w:rsid w:val="00C76577"/>
    <w:rsid w:val="00C80225"/>
    <w:rsid w:val="00C81349"/>
    <w:rsid w:val="00C93139"/>
    <w:rsid w:val="00CA08A0"/>
    <w:rsid w:val="00CA32D2"/>
    <w:rsid w:val="00CA4E07"/>
    <w:rsid w:val="00CA737D"/>
    <w:rsid w:val="00CB1EF5"/>
    <w:rsid w:val="00CC05D4"/>
    <w:rsid w:val="00CC7166"/>
    <w:rsid w:val="00CF5275"/>
    <w:rsid w:val="00CF6136"/>
    <w:rsid w:val="00D0023D"/>
    <w:rsid w:val="00D006C6"/>
    <w:rsid w:val="00D14A65"/>
    <w:rsid w:val="00D162B9"/>
    <w:rsid w:val="00D251E2"/>
    <w:rsid w:val="00D254F4"/>
    <w:rsid w:val="00D263A7"/>
    <w:rsid w:val="00D26B5D"/>
    <w:rsid w:val="00D33159"/>
    <w:rsid w:val="00D33A19"/>
    <w:rsid w:val="00D355B5"/>
    <w:rsid w:val="00D43DC3"/>
    <w:rsid w:val="00D51791"/>
    <w:rsid w:val="00D5281E"/>
    <w:rsid w:val="00D6531B"/>
    <w:rsid w:val="00D6612D"/>
    <w:rsid w:val="00D71AD9"/>
    <w:rsid w:val="00D73C02"/>
    <w:rsid w:val="00D872ED"/>
    <w:rsid w:val="00D913C6"/>
    <w:rsid w:val="00DA0236"/>
    <w:rsid w:val="00DA5D51"/>
    <w:rsid w:val="00DA5E29"/>
    <w:rsid w:val="00DA61CA"/>
    <w:rsid w:val="00DB66BB"/>
    <w:rsid w:val="00DB73AF"/>
    <w:rsid w:val="00DC2865"/>
    <w:rsid w:val="00DD0894"/>
    <w:rsid w:val="00DE1888"/>
    <w:rsid w:val="00DF1250"/>
    <w:rsid w:val="00DF6EF7"/>
    <w:rsid w:val="00E05454"/>
    <w:rsid w:val="00E074C3"/>
    <w:rsid w:val="00E23329"/>
    <w:rsid w:val="00E24D6D"/>
    <w:rsid w:val="00E341B2"/>
    <w:rsid w:val="00E42633"/>
    <w:rsid w:val="00E5699E"/>
    <w:rsid w:val="00E570E1"/>
    <w:rsid w:val="00E72773"/>
    <w:rsid w:val="00E76739"/>
    <w:rsid w:val="00E81946"/>
    <w:rsid w:val="00E82BB7"/>
    <w:rsid w:val="00E86D13"/>
    <w:rsid w:val="00E936C2"/>
    <w:rsid w:val="00E95346"/>
    <w:rsid w:val="00EA0CEF"/>
    <w:rsid w:val="00EA2E2A"/>
    <w:rsid w:val="00EB79D2"/>
    <w:rsid w:val="00EC0174"/>
    <w:rsid w:val="00ED3EEB"/>
    <w:rsid w:val="00ED5749"/>
    <w:rsid w:val="00ED5FA3"/>
    <w:rsid w:val="00ED68C4"/>
    <w:rsid w:val="00ED6A4E"/>
    <w:rsid w:val="00ED72EA"/>
    <w:rsid w:val="00EE3A4F"/>
    <w:rsid w:val="00EF10C3"/>
    <w:rsid w:val="00EF3BD2"/>
    <w:rsid w:val="00F16BCE"/>
    <w:rsid w:val="00F45DA1"/>
    <w:rsid w:val="00F5267B"/>
    <w:rsid w:val="00F53E8B"/>
    <w:rsid w:val="00F663FD"/>
    <w:rsid w:val="00F743B0"/>
    <w:rsid w:val="00F82409"/>
    <w:rsid w:val="00F8264F"/>
    <w:rsid w:val="00F833E9"/>
    <w:rsid w:val="00F84580"/>
    <w:rsid w:val="00F873DA"/>
    <w:rsid w:val="00F95982"/>
    <w:rsid w:val="00FA006C"/>
    <w:rsid w:val="00FA190E"/>
    <w:rsid w:val="00FA288B"/>
    <w:rsid w:val="00FA2997"/>
    <w:rsid w:val="00FA2C71"/>
    <w:rsid w:val="00FB3345"/>
    <w:rsid w:val="00FD0228"/>
    <w:rsid w:val="00FD3BB7"/>
    <w:rsid w:val="00FE0D93"/>
    <w:rsid w:val="00FF2572"/>
    <w:rsid w:val="00FF32AD"/>
    <w:rsid w:val="012A2089"/>
    <w:rsid w:val="02117D9A"/>
    <w:rsid w:val="028D7421"/>
    <w:rsid w:val="02E334E5"/>
    <w:rsid w:val="0370464D"/>
    <w:rsid w:val="03B60BF9"/>
    <w:rsid w:val="049802FF"/>
    <w:rsid w:val="057C552B"/>
    <w:rsid w:val="06C929F2"/>
    <w:rsid w:val="086D11A9"/>
    <w:rsid w:val="0AB67731"/>
    <w:rsid w:val="0AF3628F"/>
    <w:rsid w:val="0BAB4DBC"/>
    <w:rsid w:val="0CC30899"/>
    <w:rsid w:val="0DC31556"/>
    <w:rsid w:val="0FFA28EC"/>
    <w:rsid w:val="112314B3"/>
    <w:rsid w:val="118B7221"/>
    <w:rsid w:val="133F2BF4"/>
    <w:rsid w:val="155D0ED5"/>
    <w:rsid w:val="169F1079"/>
    <w:rsid w:val="17005FBC"/>
    <w:rsid w:val="19397563"/>
    <w:rsid w:val="19CF6119"/>
    <w:rsid w:val="1A3D6143"/>
    <w:rsid w:val="1B7A2AA0"/>
    <w:rsid w:val="1B9B2757"/>
    <w:rsid w:val="1C013801"/>
    <w:rsid w:val="1DFD8D3B"/>
    <w:rsid w:val="1E036392"/>
    <w:rsid w:val="1F813CF1"/>
    <w:rsid w:val="1FA94D17"/>
    <w:rsid w:val="1FB79DC9"/>
    <w:rsid w:val="1FBFC3F2"/>
    <w:rsid w:val="1FFFE033"/>
    <w:rsid w:val="204F780F"/>
    <w:rsid w:val="21271FF6"/>
    <w:rsid w:val="2129610F"/>
    <w:rsid w:val="220F79FB"/>
    <w:rsid w:val="23DC1B5F"/>
    <w:rsid w:val="23E91A35"/>
    <w:rsid w:val="272604D3"/>
    <w:rsid w:val="27DE7541"/>
    <w:rsid w:val="27F352A6"/>
    <w:rsid w:val="29053906"/>
    <w:rsid w:val="29220014"/>
    <w:rsid w:val="293C7BB7"/>
    <w:rsid w:val="2B4324C3"/>
    <w:rsid w:val="2D527252"/>
    <w:rsid w:val="2DDC1740"/>
    <w:rsid w:val="2EAE55F2"/>
    <w:rsid w:val="2EDF4302"/>
    <w:rsid w:val="2EFA347E"/>
    <w:rsid w:val="2EFE1A04"/>
    <w:rsid w:val="2F6824F8"/>
    <w:rsid w:val="2FAD7913"/>
    <w:rsid w:val="30084C8D"/>
    <w:rsid w:val="309D61D2"/>
    <w:rsid w:val="31395838"/>
    <w:rsid w:val="31752A77"/>
    <w:rsid w:val="31C079E3"/>
    <w:rsid w:val="31CD0D39"/>
    <w:rsid w:val="32F21E9F"/>
    <w:rsid w:val="337B5440"/>
    <w:rsid w:val="3454515E"/>
    <w:rsid w:val="347F27BE"/>
    <w:rsid w:val="355359F9"/>
    <w:rsid w:val="35BBF80F"/>
    <w:rsid w:val="36A10430"/>
    <w:rsid w:val="379E73FF"/>
    <w:rsid w:val="37C552E7"/>
    <w:rsid w:val="37EDC20A"/>
    <w:rsid w:val="391B05DB"/>
    <w:rsid w:val="397D1296"/>
    <w:rsid w:val="39B0341A"/>
    <w:rsid w:val="3A777A93"/>
    <w:rsid w:val="3B131EB2"/>
    <w:rsid w:val="3B736F08"/>
    <w:rsid w:val="3B7FC261"/>
    <w:rsid w:val="3BE3D531"/>
    <w:rsid w:val="3CB219A4"/>
    <w:rsid w:val="3CDFC27D"/>
    <w:rsid w:val="3D431A40"/>
    <w:rsid w:val="3D5D5666"/>
    <w:rsid w:val="3DFB05B4"/>
    <w:rsid w:val="3E1F0B55"/>
    <w:rsid w:val="3E976956"/>
    <w:rsid w:val="3EFCBC4E"/>
    <w:rsid w:val="3EFEB12B"/>
    <w:rsid w:val="3EFF42CA"/>
    <w:rsid w:val="3F6FCA38"/>
    <w:rsid w:val="3FD5AF3D"/>
    <w:rsid w:val="3FFDC9BA"/>
    <w:rsid w:val="3FFED8BE"/>
    <w:rsid w:val="3FFF43BB"/>
    <w:rsid w:val="40662A84"/>
    <w:rsid w:val="41D83A42"/>
    <w:rsid w:val="42B20202"/>
    <w:rsid w:val="43104F29"/>
    <w:rsid w:val="433DCF8E"/>
    <w:rsid w:val="443C4228"/>
    <w:rsid w:val="45FF973D"/>
    <w:rsid w:val="462036D5"/>
    <w:rsid w:val="46207231"/>
    <w:rsid w:val="46832E87"/>
    <w:rsid w:val="46BD2CD2"/>
    <w:rsid w:val="47550EBA"/>
    <w:rsid w:val="4812529F"/>
    <w:rsid w:val="48E42798"/>
    <w:rsid w:val="49FB248F"/>
    <w:rsid w:val="4AF34F14"/>
    <w:rsid w:val="4BF76C86"/>
    <w:rsid w:val="4BF7E09D"/>
    <w:rsid w:val="4C653BF0"/>
    <w:rsid w:val="4D92310A"/>
    <w:rsid w:val="4ECE0172"/>
    <w:rsid w:val="4FFFFC3E"/>
    <w:rsid w:val="52232583"/>
    <w:rsid w:val="52CA29FF"/>
    <w:rsid w:val="531DB5DF"/>
    <w:rsid w:val="53BB74FC"/>
    <w:rsid w:val="54493DF7"/>
    <w:rsid w:val="55CA71B9"/>
    <w:rsid w:val="55FD74FD"/>
    <w:rsid w:val="55FDDF92"/>
    <w:rsid w:val="55FFBC03"/>
    <w:rsid w:val="56CD6F61"/>
    <w:rsid w:val="56CDA72E"/>
    <w:rsid w:val="576F5916"/>
    <w:rsid w:val="577FDAE2"/>
    <w:rsid w:val="57EFF435"/>
    <w:rsid w:val="57F329F7"/>
    <w:rsid w:val="57FBE2C7"/>
    <w:rsid w:val="581A4428"/>
    <w:rsid w:val="58BF42C2"/>
    <w:rsid w:val="59F760A3"/>
    <w:rsid w:val="5AFE1DDF"/>
    <w:rsid w:val="5B335734"/>
    <w:rsid w:val="5B638ADD"/>
    <w:rsid w:val="5B7F322F"/>
    <w:rsid w:val="5BAD3F86"/>
    <w:rsid w:val="5BCAB023"/>
    <w:rsid w:val="5BF70100"/>
    <w:rsid w:val="5C2018E1"/>
    <w:rsid w:val="5C6A0DAE"/>
    <w:rsid w:val="5C734262"/>
    <w:rsid w:val="5CFF26DA"/>
    <w:rsid w:val="5D465377"/>
    <w:rsid w:val="5DD010E5"/>
    <w:rsid w:val="5DDA9B94"/>
    <w:rsid w:val="5EAB810D"/>
    <w:rsid w:val="5EFF9DA6"/>
    <w:rsid w:val="5F393462"/>
    <w:rsid w:val="5F7751B9"/>
    <w:rsid w:val="5F9F7232"/>
    <w:rsid w:val="5F9F9588"/>
    <w:rsid w:val="5FBD32D2"/>
    <w:rsid w:val="5FCDBC85"/>
    <w:rsid w:val="5FD450B0"/>
    <w:rsid w:val="5FEF60CD"/>
    <w:rsid w:val="5FFB203D"/>
    <w:rsid w:val="5FFB8CF9"/>
    <w:rsid w:val="61371BA7"/>
    <w:rsid w:val="61A50C73"/>
    <w:rsid w:val="61B2747F"/>
    <w:rsid w:val="62D358FF"/>
    <w:rsid w:val="639F1C85"/>
    <w:rsid w:val="63DBAF21"/>
    <w:rsid w:val="65240694"/>
    <w:rsid w:val="659770B8"/>
    <w:rsid w:val="6636451A"/>
    <w:rsid w:val="66576847"/>
    <w:rsid w:val="67A07D7A"/>
    <w:rsid w:val="67BF051C"/>
    <w:rsid w:val="67DE80AA"/>
    <w:rsid w:val="68BB30BE"/>
    <w:rsid w:val="697E3B47"/>
    <w:rsid w:val="69964E32"/>
    <w:rsid w:val="69BF132E"/>
    <w:rsid w:val="69EF614B"/>
    <w:rsid w:val="6BFEE5F3"/>
    <w:rsid w:val="6C564B8C"/>
    <w:rsid w:val="6CAFF34E"/>
    <w:rsid w:val="6CFFCF4F"/>
    <w:rsid w:val="6D6B4986"/>
    <w:rsid w:val="6DFF1A73"/>
    <w:rsid w:val="6DFFF8B6"/>
    <w:rsid w:val="6E276AFF"/>
    <w:rsid w:val="6E343B20"/>
    <w:rsid w:val="6E9FE641"/>
    <w:rsid w:val="6EEDE807"/>
    <w:rsid w:val="6EEE4BE4"/>
    <w:rsid w:val="6EF65E9C"/>
    <w:rsid w:val="6F3D9197"/>
    <w:rsid w:val="6FAB3EC4"/>
    <w:rsid w:val="6FB6AF41"/>
    <w:rsid w:val="6FCF72E5"/>
    <w:rsid w:val="6FD894C8"/>
    <w:rsid w:val="6FDB429A"/>
    <w:rsid w:val="6FE36A9E"/>
    <w:rsid w:val="6FEFB2D1"/>
    <w:rsid w:val="6FFF97E6"/>
    <w:rsid w:val="70904E30"/>
    <w:rsid w:val="71397E03"/>
    <w:rsid w:val="71DF2249"/>
    <w:rsid w:val="71E80C9B"/>
    <w:rsid w:val="71FB5B08"/>
    <w:rsid w:val="7306587D"/>
    <w:rsid w:val="73627BF6"/>
    <w:rsid w:val="73722F12"/>
    <w:rsid w:val="737A58E3"/>
    <w:rsid w:val="73DFEC21"/>
    <w:rsid w:val="73F5028C"/>
    <w:rsid w:val="73FB87D9"/>
    <w:rsid w:val="755176F5"/>
    <w:rsid w:val="75EA2C81"/>
    <w:rsid w:val="75EF0FBA"/>
    <w:rsid w:val="75FDC752"/>
    <w:rsid w:val="7607C293"/>
    <w:rsid w:val="76204C10"/>
    <w:rsid w:val="76DFA4E8"/>
    <w:rsid w:val="778720BD"/>
    <w:rsid w:val="77A7D615"/>
    <w:rsid w:val="77EBE192"/>
    <w:rsid w:val="77FF366A"/>
    <w:rsid w:val="77FF8C96"/>
    <w:rsid w:val="77FFA8F9"/>
    <w:rsid w:val="7976604B"/>
    <w:rsid w:val="79A2004E"/>
    <w:rsid w:val="79BB4B26"/>
    <w:rsid w:val="79EF067B"/>
    <w:rsid w:val="79F3BC78"/>
    <w:rsid w:val="7A5B6CAA"/>
    <w:rsid w:val="7A658922"/>
    <w:rsid w:val="7A802114"/>
    <w:rsid w:val="7A9314AC"/>
    <w:rsid w:val="7AF75AAB"/>
    <w:rsid w:val="7B3B6E1A"/>
    <w:rsid w:val="7B4F6850"/>
    <w:rsid w:val="7BA728A6"/>
    <w:rsid w:val="7BABD5C4"/>
    <w:rsid w:val="7BB12055"/>
    <w:rsid w:val="7BBFADBA"/>
    <w:rsid w:val="7BFF492D"/>
    <w:rsid w:val="7C631402"/>
    <w:rsid w:val="7C6505C5"/>
    <w:rsid w:val="7C77087F"/>
    <w:rsid w:val="7C978C63"/>
    <w:rsid w:val="7CA35AD0"/>
    <w:rsid w:val="7CC07A8E"/>
    <w:rsid w:val="7CDBE76B"/>
    <w:rsid w:val="7CDF8BC3"/>
    <w:rsid w:val="7CEB72A5"/>
    <w:rsid w:val="7D18750B"/>
    <w:rsid w:val="7DDFDC39"/>
    <w:rsid w:val="7E140770"/>
    <w:rsid w:val="7E524910"/>
    <w:rsid w:val="7E5D92FB"/>
    <w:rsid w:val="7EA269F8"/>
    <w:rsid w:val="7EAA7A04"/>
    <w:rsid w:val="7EAD6AB6"/>
    <w:rsid w:val="7EEBAE87"/>
    <w:rsid w:val="7EF51D64"/>
    <w:rsid w:val="7EFFF488"/>
    <w:rsid w:val="7F376DBE"/>
    <w:rsid w:val="7F574612"/>
    <w:rsid w:val="7F5B46D1"/>
    <w:rsid w:val="7F7F4920"/>
    <w:rsid w:val="7F9E431D"/>
    <w:rsid w:val="7FA678CB"/>
    <w:rsid w:val="7FB522CA"/>
    <w:rsid w:val="7FB7C299"/>
    <w:rsid w:val="7FBF0C8D"/>
    <w:rsid w:val="7FBFFB92"/>
    <w:rsid w:val="7FD76ACB"/>
    <w:rsid w:val="7FD89DA2"/>
    <w:rsid w:val="7FDBD805"/>
    <w:rsid w:val="7FDEC14D"/>
    <w:rsid w:val="7FDF8B76"/>
    <w:rsid w:val="7FDFE693"/>
    <w:rsid w:val="7FEFB5DD"/>
    <w:rsid w:val="7FEFBBD9"/>
    <w:rsid w:val="7FFD6A57"/>
    <w:rsid w:val="7FFDA7EC"/>
    <w:rsid w:val="7FFDEA1E"/>
    <w:rsid w:val="7FFEC1F6"/>
    <w:rsid w:val="7FFF2F52"/>
    <w:rsid w:val="7FFF42FA"/>
    <w:rsid w:val="8F7B4EC8"/>
    <w:rsid w:val="8FBD4480"/>
    <w:rsid w:val="8FF7AE96"/>
    <w:rsid w:val="953BB842"/>
    <w:rsid w:val="955F5184"/>
    <w:rsid w:val="979E390C"/>
    <w:rsid w:val="9F6311D7"/>
    <w:rsid w:val="9FF2C7F4"/>
    <w:rsid w:val="9FF54399"/>
    <w:rsid w:val="A46D76C1"/>
    <w:rsid w:val="A7FF43C2"/>
    <w:rsid w:val="ABF66286"/>
    <w:rsid w:val="AD3F64A9"/>
    <w:rsid w:val="AD9E3F04"/>
    <w:rsid w:val="ADA70464"/>
    <w:rsid w:val="AFE97CD3"/>
    <w:rsid w:val="B1BF5C63"/>
    <w:rsid w:val="B1FF3A18"/>
    <w:rsid w:val="B3CDF284"/>
    <w:rsid w:val="B3E8107B"/>
    <w:rsid w:val="B5F66F24"/>
    <w:rsid w:val="B7F5200A"/>
    <w:rsid w:val="BABDA1AA"/>
    <w:rsid w:val="BB1B4BF1"/>
    <w:rsid w:val="BBDFA33F"/>
    <w:rsid w:val="BBE5FE68"/>
    <w:rsid w:val="BBFEB9C1"/>
    <w:rsid w:val="BDF7406A"/>
    <w:rsid w:val="BDFD851F"/>
    <w:rsid w:val="BE6FD8DB"/>
    <w:rsid w:val="BEBE14DA"/>
    <w:rsid w:val="BEEF57C2"/>
    <w:rsid w:val="BF6D5596"/>
    <w:rsid w:val="BFBEBB2C"/>
    <w:rsid w:val="BFC68935"/>
    <w:rsid w:val="BFDD0F1D"/>
    <w:rsid w:val="BFDDD096"/>
    <w:rsid w:val="C5577184"/>
    <w:rsid w:val="C5B3F496"/>
    <w:rsid w:val="C96F3E49"/>
    <w:rsid w:val="CBBF14F3"/>
    <w:rsid w:val="CBE5DCF2"/>
    <w:rsid w:val="CCFCC735"/>
    <w:rsid w:val="CEEB8A74"/>
    <w:rsid w:val="CFD76DAD"/>
    <w:rsid w:val="CFEB0F8C"/>
    <w:rsid w:val="D37FB642"/>
    <w:rsid w:val="D7F64B82"/>
    <w:rsid w:val="D7F99798"/>
    <w:rsid w:val="D7FE7808"/>
    <w:rsid w:val="D7FF400C"/>
    <w:rsid w:val="DBED1CD4"/>
    <w:rsid w:val="DBFBB328"/>
    <w:rsid w:val="DC7DBDFF"/>
    <w:rsid w:val="DC7FBDDD"/>
    <w:rsid w:val="DCFF2087"/>
    <w:rsid w:val="DD7BA978"/>
    <w:rsid w:val="DDD7453A"/>
    <w:rsid w:val="DE3E1FD7"/>
    <w:rsid w:val="DED486E8"/>
    <w:rsid w:val="DF408F6D"/>
    <w:rsid w:val="DFBE1B79"/>
    <w:rsid w:val="DFBFA033"/>
    <w:rsid w:val="DFCF1FEC"/>
    <w:rsid w:val="DFD6E89D"/>
    <w:rsid w:val="DFE75A3D"/>
    <w:rsid w:val="DFED2117"/>
    <w:rsid w:val="DFEF594B"/>
    <w:rsid w:val="DFF3F960"/>
    <w:rsid w:val="DFFE0D61"/>
    <w:rsid w:val="E23769E6"/>
    <w:rsid w:val="E35C4B3C"/>
    <w:rsid w:val="E3A781CA"/>
    <w:rsid w:val="E5DFAB50"/>
    <w:rsid w:val="E6FC647F"/>
    <w:rsid w:val="E7BF1850"/>
    <w:rsid w:val="EAEB4E09"/>
    <w:rsid w:val="EBFBC8F1"/>
    <w:rsid w:val="EBFDF757"/>
    <w:rsid w:val="ED758B5D"/>
    <w:rsid w:val="ED76A08D"/>
    <w:rsid w:val="EDBDD81F"/>
    <w:rsid w:val="EDFDB542"/>
    <w:rsid w:val="EEFFFBC5"/>
    <w:rsid w:val="EF0FCF96"/>
    <w:rsid w:val="EF7F6378"/>
    <w:rsid w:val="EF95E20F"/>
    <w:rsid w:val="EFAF7DFF"/>
    <w:rsid w:val="EFAFB283"/>
    <w:rsid w:val="EFBDA38B"/>
    <w:rsid w:val="EFEE9A76"/>
    <w:rsid w:val="F0AFCF8D"/>
    <w:rsid w:val="F1BF6FBC"/>
    <w:rsid w:val="F1F9A9B5"/>
    <w:rsid w:val="F3779FC2"/>
    <w:rsid w:val="F3D5C239"/>
    <w:rsid w:val="F3F37DF4"/>
    <w:rsid w:val="F3F96DE6"/>
    <w:rsid w:val="F3FBC54A"/>
    <w:rsid w:val="F47BB68A"/>
    <w:rsid w:val="F47F523E"/>
    <w:rsid w:val="F53B6C52"/>
    <w:rsid w:val="F69FD6B0"/>
    <w:rsid w:val="F7CF386C"/>
    <w:rsid w:val="F7E7F921"/>
    <w:rsid w:val="F7F7AC6A"/>
    <w:rsid w:val="F7FD93B9"/>
    <w:rsid w:val="F879B20E"/>
    <w:rsid w:val="F8D790BA"/>
    <w:rsid w:val="FABF64A5"/>
    <w:rsid w:val="FABF7411"/>
    <w:rsid w:val="FADFD59C"/>
    <w:rsid w:val="FAF62283"/>
    <w:rsid w:val="FB7536DE"/>
    <w:rsid w:val="FBA53981"/>
    <w:rsid w:val="FBAC5C9B"/>
    <w:rsid w:val="FBE4457E"/>
    <w:rsid w:val="FBEF4EE6"/>
    <w:rsid w:val="FBFC558A"/>
    <w:rsid w:val="FBFF71AC"/>
    <w:rsid w:val="FBFFEA2B"/>
    <w:rsid w:val="FCCB27AA"/>
    <w:rsid w:val="FCFF8F4B"/>
    <w:rsid w:val="FD3D6FBD"/>
    <w:rsid w:val="FD9595AD"/>
    <w:rsid w:val="FDD76E50"/>
    <w:rsid w:val="FDE04B4F"/>
    <w:rsid w:val="FDF9DD9A"/>
    <w:rsid w:val="FDFF2821"/>
    <w:rsid w:val="FDFFA696"/>
    <w:rsid w:val="FE7FB02B"/>
    <w:rsid w:val="FE7FCB2D"/>
    <w:rsid w:val="FEBD0232"/>
    <w:rsid w:val="FED5A77F"/>
    <w:rsid w:val="FED7609A"/>
    <w:rsid w:val="FEDFD193"/>
    <w:rsid w:val="FEE7097E"/>
    <w:rsid w:val="FEEF8230"/>
    <w:rsid w:val="FEF1F1BE"/>
    <w:rsid w:val="FEF99316"/>
    <w:rsid w:val="FEFB20CB"/>
    <w:rsid w:val="FEFD95B3"/>
    <w:rsid w:val="FEFE4E93"/>
    <w:rsid w:val="FEFFA483"/>
    <w:rsid w:val="FF29B32D"/>
    <w:rsid w:val="FF2E6944"/>
    <w:rsid w:val="FF5F9D52"/>
    <w:rsid w:val="FF7A0B6A"/>
    <w:rsid w:val="FF7B6DC2"/>
    <w:rsid w:val="FF7B7AA5"/>
    <w:rsid w:val="FF7FFF75"/>
    <w:rsid w:val="FF921F59"/>
    <w:rsid w:val="FF9FE9ED"/>
    <w:rsid w:val="FFBB1E09"/>
    <w:rsid w:val="FFBB6A0C"/>
    <w:rsid w:val="FFBD894B"/>
    <w:rsid w:val="FFBF33B3"/>
    <w:rsid w:val="FFBFDE98"/>
    <w:rsid w:val="FFD09362"/>
    <w:rsid w:val="FFD1DA08"/>
    <w:rsid w:val="FFD7DEDD"/>
    <w:rsid w:val="FFDE369F"/>
    <w:rsid w:val="FFEF98C9"/>
    <w:rsid w:val="FFEFCE62"/>
    <w:rsid w:val="FFF973B0"/>
    <w:rsid w:val="FFFB4F05"/>
    <w:rsid w:val="FFFEC8F5"/>
    <w:rsid w:val="FFFEFED2"/>
    <w:rsid w:val="FFFFC8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qFormat="1" w:uiPriority="99"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0"/>
    <w:pPr>
      <w:spacing w:before="156" w:beforeLines="50" w:line="360" w:lineRule="auto"/>
      <w:ind w:firstLine="480" w:firstLineChars="200"/>
    </w:pPr>
    <w:rPr>
      <w:rFonts w:eastAsia="仿宋"/>
      <w:sz w:val="24"/>
      <w:szCs w:val="23"/>
      <w:lang w:eastAsia="ar-SA"/>
    </w:rPr>
  </w:style>
  <w:style w:type="paragraph" w:styleId="3">
    <w:name w:val="Document Map"/>
    <w:basedOn w:val="1"/>
    <w:link w:val="19"/>
    <w:qFormat/>
    <w:uiPriority w:val="0"/>
    <w:rPr>
      <w:rFonts w:ascii="宋体" w:eastAsia="宋体"/>
      <w:sz w:val="18"/>
      <w:szCs w:val="18"/>
    </w:rPr>
  </w:style>
  <w:style w:type="paragraph" w:styleId="4">
    <w:name w:val="Body Text"/>
    <w:basedOn w:val="1"/>
    <w:qFormat/>
    <w:uiPriority w:val="0"/>
    <w:pPr>
      <w:spacing w:after="120"/>
    </w:pPr>
  </w:style>
  <w:style w:type="paragraph" w:styleId="5">
    <w:name w:val="Body Text Indent"/>
    <w:basedOn w:val="1"/>
    <w:qFormat/>
    <w:uiPriority w:val="0"/>
    <w:pPr>
      <w:spacing w:after="120"/>
      <w:ind w:leftChars="200"/>
    </w:pPr>
    <w:rPr>
      <w:rFonts w:ascii="仿宋_GB2312"/>
      <w:szCs w:val="32"/>
    </w:rPr>
  </w:style>
  <w:style w:type="paragraph" w:styleId="6">
    <w:name w:val="Balloon Text"/>
    <w:basedOn w:val="1"/>
    <w:semiHidden/>
    <w:qFormat/>
    <w:uiPriority w:val="0"/>
    <w:rPr>
      <w:sz w:val="18"/>
      <w:szCs w:val="18"/>
    </w:rPr>
  </w:style>
  <w:style w:type="paragraph" w:styleId="7">
    <w:name w:val="footer"/>
    <w:basedOn w:val="1"/>
    <w:link w:val="21"/>
    <w:qFormat/>
    <w:uiPriority w:val="99"/>
    <w:pPr>
      <w:tabs>
        <w:tab w:val="center" w:pos="4153"/>
        <w:tab w:val="right" w:pos="8306"/>
      </w:tabs>
      <w:snapToGrid w:val="0"/>
      <w:jc w:val="left"/>
    </w:pPr>
    <w:rPr>
      <w:rFonts w:eastAsia="宋体"/>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rFonts w:eastAsia="宋体"/>
      <w:sz w:val="18"/>
      <w:szCs w:val="18"/>
    </w:rPr>
  </w:style>
  <w:style w:type="paragraph" w:styleId="9">
    <w:name w:val="toc 1"/>
    <w:basedOn w:val="1"/>
    <w:next w:val="1"/>
    <w:qFormat/>
    <w:uiPriority w:val="0"/>
  </w:style>
  <w:style w:type="paragraph" w:styleId="10">
    <w:name w:val="table of figures"/>
    <w:basedOn w:val="1"/>
    <w:next w:val="1"/>
    <w:unhideWhenUsed/>
    <w:qFormat/>
    <w:uiPriority w:val="99"/>
    <w:pPr>
      <w:spacing w:before="100" w:beforeAutospacing="1" w:after="100" w:afterAutospacing="1"/>
      <w:ind w:leftChars="200" w:hanging="200" w:hangingChars="200"/>
    </w:pPr>
  </w:style>
  <w:style w:type="paragraph" w:styleId="11">
    <w:name w:val="Body Text First Indent 2"/>
    <w:basedOn w:val="5"/>
    <w:unhideWhenUsed/>
    <w:qFormat/>
    <w:uiPriority w:val="99"/>
    <w:pPr>
      <w:ind w:firstLine="420" w:firstLineChars="200"/>
    </w:p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5">
    <w:name w:val="page number"/>
    <w:basedOn w:val="14"/>
    <w:qFormat/>
    <w:uiPriority w:val="0"/>
  </w:style>
  <w:style w:type="paragraph" w:customStyle="1" w:styleId="16">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customStyle="1" w:styleId="17">
    <w:name w:val="四号正文"/>
    <w:basedOn w:val="1"/>
    <w:link w:val="18"/>
    <w:qFormat/>
    <w:uiPriority w:val="0"/>
    <w:pPr>
      <w:spacing w:line="360" w:lineRule="auto"/>
    </w:pPr>
    <w:rPr>
      <w:rFonts w:ascii="??" w:hAnsi="??" w:eastAsia="宋体" w:cs="宋体"/>
      <w:color w:val="000000"/>
      <w:kern w:val="0"/>
      <w:sz w:val="28"/>
      <w:szCs w:val="21"/>
    </w:rPr>
  </w:style>
  <w:style w:type="character" w:customStyle="1" w:styleId="18">
    <w:name w:val="四号正文 Char"/>
    <w:basedOn w:val="14"/>
    <w:link w:val="17"/>
    <w:qFormat/>
    <w:uiPriority w:val="0"/>
    <w:rPr>
      <w:rFonts w:ascii="??" w:hAnsi="??" w:eastAsia="宋体" w:cs="宋体"/>
      <w:color w:val="000000"/>
      <w:sz w:val="28"/>
      <w:szCs w:val="21"/>
      <w:lang w:val="en-US" w:eastAsia="zh-CN" w:bidi="ar-SA"/>
    </w:rPr>
  </w:style>
  <w:style w:type="character" w:customStyle="1" w:styleId="19">
    <w:name w:val="文档结构图 Char"/>
    <w:basedOn w:val="14"/>
    <w:link w:val="3"/>
    <w:qFormat/>
    <w:uiPriority w:val="0"/>
    <w:rPr>
      <w:rFonts w:ascii="宋体"/>
      <w:kern w:val="2"/>
      <w:sz w:val="18"/>
      <w:szCs w:val="18"/>
    </w:rPr>
  </w:style>
  <w:style w:type="paragraph" w:customStyle="1" w:styleId="20">
    <w:name w:val="a"/>
    <w:basedOn w:val="1"/>
    <w:qFormat/>
    <w:uiPriority w:val="0"/>
    <w:pPr>
      <w:widowControl/>
      <w:spacing w:before="100" w:beforeAutospacing="1" w:after="100" w:afterAutospacing="1"/>
      <w:jc w:val="left"/>
    </w:pPr>
    <w:rPr>
      <w:rFonts w:ascii="宋体" w:hAnsi="宋体" w:eastAsia="宋体" w:cs="宋体"/>
      <w:kern w:val="0"/>
      <w:sz w:val="24"/>
    </w:rPr>
  </w:style>
  <w:style w:type="character" w:customStyle="1" w:styleId="21">
    <w:name w:val="页脚 Char"/>
    <w:basedOn w:val="14"/>
    <w:link w:val="7"/>
    <w:qFormat/>
    <w:uiPriority w:val="99"/>
    <w:rPr>
      <w:kern w:val="2"/>
      <w:sz w:val="18"/>
      <w:szCs w:val="18"/>
    </w:rPr>
  </w:style>
  <w:style w:type="character" w:customStyle="1" w:styleId="22">
    <w:name w:val="font31"/>
    <w:basedOn w:val="14"/>
    <w:qFormat/>
    <w:uiPriority w:val="0"/>
    <w:rPr>
      <w:rFonts w:hint="eastAsia" w:ascii="宋体" w:hAnsi="宋体" w:eastAsia="宋体" w:cs="宋体"/>
      <w:color w:val="000000"/>
      <w:sz w:val="24"/>
      <w:szCs w:val="24"/>
      <w:u w:val="none"/>
    </w:rPr>
  </w:style>
  <w:style w:type="character" w:customStyle="1" w:styleId="23">
    <w:name w:val="font51"/>
    <w:basedOn w:val="14"/>
    <w:qFormat/>
    <w:uiPriority w:val="0"/>
    <w:rPr>
      <w:rFonts w:hint="default" w:ascii="Wingdings 2" w:hAnsi="Wingdings 2" w:eastAsia="Wingdings 2" w:cs="Wingdings 2"/>
      <w:color w:val="000000"/>
      <w:sz w:val="18"/>
      <w:szCs w:val="18"/>
      <w:u w:val="none"/>
    </w:rPr>
  </w:style>
  <w:style w:type="character" w:customStyle="1" w:styleId="24">
    <w:name w:val="font01"/>
    <w:basedOn w:val="14"/>
    <w:qFormat/>
    <w:uiPriority w:val="0"/>
    <w:rPr>
      <w:rFonts w:ascii="宋体" w:hAnsi="宋体" w:eastAsia="宋体" w:cs="宋体"/>
      <w:color w:val="000000"/>
      <w:sz w:val="18"/>
      <w:szCs w:val="18"/>
      <w:u w:val="none"/>
    </w:rPr>
  </w:style>
  <w:style w:type="character" w:customStyle="1" w:styleId="25">
    <w:name w:val="font41"/>
    <w:basedOn w:val="14"/>
    <w:qFormat/>
    <w:uiPriority w:val="0"/>
    <w:rPr>
      <w:rFonts w:ascii="宋体" w:hAnsi="宋体" w:eastAsia="宋体" w:cs="宋体"/>
      <w:color w:val="000000"/>
      <w:sz w:val="18"/>
      <w:szCs w:val="18"/>
      <w:u w:val="none"/>
    </w:rPr>
  </w:style>
  <w:style w:type="paragraph" w:customStyle="1" w:styleId="26">
    <w:name w:val="Body Text First Indent 21"/>
    <w:basedOn w:val="27"/>
    <w:next w:val="1"/>
    <w:qFormat/>
    <w:uiPriority w:val="0"/>
    <w:pPr>
      <w:ind w:firstLine="420" w:firstLineChars="200"/>
    </w:pPr>
    <w:rPr>
      <w:rFonts w:ascii="Times New Roman" w:hAnsi="Times New Roman" w:eastAsia="宋体"/>
    </w:rPr>
  </w:style>
  <w:style w:type="paragraph" w:customStyle="1" w:styleId="27">
    <w:name w:val="Body Text Indent1"/>
    <w:basedOn w:val="1"/>
    <w:qFormat/>
    <w:uiPriority w:val="0"/>
    <w:pPr>
      <w:spacing w:line="600" w:lineRule="atLeast"/>
      <w:ind w:firstLine="600"/>
    </w:pPr>
    <w:rPr>
      <w:rFonts w:ascii="仿宋_GB2312" w:hAnsi="Times New Roman" w:eastAsia="仿宋_GB2312"/>
      <w:b/>
      <w:bCs/>
      <w:sz w:val="30"/>
      <w:szCs w:val="30"/>
    </w:rPr>
  </w:style>
  <w:style w:type="paragraph" w:customStyle="1" w:styleId="28">
    <w:name w:val="Body Text Indent"/>
    <w:basedOn w:val="1"/>
    <w:qFormat/>
    <w:uiPriority w:val="0"/>
    <w:pPr>
      <w:spacing w:line="600" w:lineRule="atLeast"/>
      <w:ind w:firstLine="600"/>
    </w:pPr>
    <w:rPr>
      <w:rFonts w:ascii="仿宋_GB2312" w:hAnsi="Times New Roman" w:eastAsia="仿宋_GB2312"/>
      <w:b/>
      <w:bCs/>
      <w:sz w:val="30"/>
      <w:szCs w:val="30"/>
    </w:rPr>
  </w:style>
  <w:style w:type="paragraph" w:customStyle="1" w:styleId="29">
    <w:name w:val="Table Text"/>
    <w:basedOn w:val="1"/>
    <w:semiHidden/>
    <w:qFormat/>
    <w:uiPriority w:val="0"/>
    <w:rPr>
      <w:rFonts w:ascii="宋体" w:hAnsi="宋体" w:eastAsia="宋体" w:cs="宋体"/>
      <w:sz w:val="24"/>
      <w:szCs w:val="24"/>
      <w:lang w:val="en-US" w:eastAsia="en-US" w:bidi="ar-SA"/>
    </w:rPr>
  </w:style>
  <w:style w:type="table" w:customStyle="1" w:styleId="30">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PSZX</Company>
  <Pages>17</Pages>
  <Words>8024</Words>
  <Characters>8501</Characters>
  <Lines>2</Lines>
  <Paragraphs>1</Paragraphs>
  <TotalTime>2</TotalTime>
  <ScaleCrop>false</ScaleCrop>
  <LinksUpToDate>false</LinksUpToDate>
  <CharactersWithSpaces>8624</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2019-06-04T11:06:00Z</dcterms:created>
  <dc:creator>陈萍</dc:creator>
  <cp:lastModifiedBy>lx</cp:lastModifiedBy>
  <cp:lastPrinted>2025-08-29T16:56:00Z</cp:lastPrinted>
  <dcterms:modified xsi:type="dcterms:W3CDTF">2025-08-29T05:43:20Z</dcterms:modified>
  <dc:title>区域性就业培训基地建设项目</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A51A36801428E9B041879466C62AECE8</vt:lpwstr>
  </property>
  <property fmtid="{D5CDD505-2E9C-101B-9397-08002B2CF9AE}" pid="4" name="KSOTemplateDocerSaveRecord">
    <vt:lpwstr>eyJoZGlkIjoiN2VmM2ViM2JiYjUwOThkMGY4YjM5ZGJhZTBhMWUyZTAiLCJ1c2VySWQiOiI3NDgxOTg1OTYifQ==</vt:lpwstr>
  </property>
</Properties>
</file>