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黑水县应急管理局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黑水县应急管理局是全县一级预算单位。黑水县应急管理局设4个内设机构,分别是：办公室、综合业务股、安全生产监察执法支队、应急指挥中心。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县应急管理局编制1</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名，其中：行政编制</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名，参公编制4名，行政工勤编制</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名。实有在职职工</w:t>
      </w:r>
      <w:r>
        <w:rPr>
          <w:rFonts w:hint="eastAsia" w:ascii="仿宋_GB2312" w:hAnsi="仿宋" w:eastAsia="仿宋_GB2312" w:cs="仿宋_GB2312"/>
          <w:sz w:val="32"/>
          <w:szCs w:val="32"/>
          <w:lang w:val="en-US" w:eastAsia="zh-CN"/>
        </w:rPr>
        <w:t>14</w:t>
      </w:r>
      <w:r>
        <w:rPr>
          <w:rFonts w:hint="eastAsia" w:ascii="仿宋_GB2312" w:hAnsi="仿宋" w:eastAsia="仿宋_GB2312" w:cs="仿宋_GB2312"/>
          <w:sz w:val="32"/>
          <w:szCs w:val="32"/>
        </w:rPr>
        <w:t>名，其中，公务员</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名，参公人员4名，机关工勤</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名。</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应急指挥中心编制</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名，其中：事业编制</w:t>
      </w:r>
      <w:r>
        <w:rPr>
          <w:rFonts w:hint="eastAsia" w:ascii="仿宋_GB2312" w:hAnsi="仿宋" w:eastAsia="仿宋_GB2312" w:cs="仿宋_GB2312"/>
          <w:sz w:val="32"/>
          <w:szCs w:val="32"/>
          <w:lang w:val="en-US" w:eastAsia="zh-CN"/>
        </w:rPr>
        <w:t>17</w:t>
      </w:r>
      <w:r>
        <w:rPr>
          <w:rFonts w:hint="eastAsia" w:ascii="仿宋_GB2312" w:hAnsi="仿宋" w:eastAsia="仿宋_GB2312" w:cs="仿宋_GB2312"/>
          <w:sz w:val="32"/>
          <w:szCs w:val="32"/>
        </w:rPr>
        <w:t>名。实有在职职工</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名，其中，专业技术人员</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名，事业工勤2名</w:t>
      </w:r>
      <w:r>
        <w:rPr>
          <w:rFonts w:hint="eastAsia" w:ascii="仿宋_GB2312" w:hAnsi="仿宋" w:eastAsia="仿宋_GB2312" w:cs="仿宋_GB2312"/>
          <w:sz w:val="32"/>
          <w:szCs w:val="32"/>
          <w:lang w:eastAsia="zh-CN"/>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1.收入与预算对比分析：本单位20</w:t>
      </w:r>
      <w:r>
        <w:rPr>
          <w:rFonts w:hint="eastAsia" w:ascii="仿宋_GB2312" w:hAnsi="仿宋" w:eastAsia="仿宋_GB2312" w:cs="仿宋_GB2312"/>
          <w:sz w:val="32"/>
          <w:szCs w:val="32"/>
          <w:lang w:val="en-US" w:eastAsia="zh-CN"/>
        </w:rPr>
        <w:t>21</w:t>
      </w:r>
      <w:r>
        <w:rPr>
          <w:rFonts w:hint="eastAsia" w:ascii="仿宋_GB2312" w:hAnsi="仿宋" w:eastAsia="仿宋_GB2312" w:cs="仿宋_GB2312"/>
          <w:sz w:val="32"/>
          <w:szCs w:val="32"/>
        </w:rPr>
        <w:t>年年初预算安排收入</w:t>
      </w:r>
      <w:r>
        <w:rPr>
          <w:rFonts w:hint="eastAsia" w:ascii="仿宋_GB2312" w:hAnsi="仿宋" w:eastAsia="仿宋_GB2312" w:cs="仿宋_GB2312"/>
          <w:sz w:val="32"/>
          <w:szCs w:val="32"/>
          <w:lang w:val="en-US" w:eastAsia="zh-CN"/>
        </w:rPr>
        <w:t>277.97</w:t>
      </w:r>
      <w:r>
        <w:rPr>
          <w:rFonts w:hint="eastAsia" w:ascii="仿宋_GB2312" w:hAnsi="仿宋" w:eastAsia="仿宋_GB2312" w:cs="仿宋_GB2312"/>
          <w:sz w:val="32"/>
          <w:szCs w:val="32"/>
        </w:rPr>
        <w:t>万元，本年实际收入</w:t>
      </w:r>
      <w:r>
        <w:rPr>
          <w:rFonts w:hint="eastAsia" w:ascii="仿宋_GB2312" w:hAnsi="仿宋" w:eastAsia="仿宋_GB2312" w:cs="仿宋_GB2312"/>
          <w:sz w:val="32"/>
          <w:szCs w:val="32"/>
          <w:lang w:val="en-US" w:eastAsia="zh-CN"/>
        </w:rPr>
        <w:t>990.42</w:t>
      </w:r>
      <w:r>
        <w:rPr>
          <w:rFonts w:hint="eastAsia" w:ascii="仿宋_GB2312" w:hAnsi="仿宋" w:eastAsia="仿宋_GB2312" w:cs="仿宋_GB2312"/>
          <w:sz w:val="32"/>
          <w:szCs w:val="32"/>
        </w:rPr>
        <w:t>万元，本年实际收入比年初预算增加</w:t>
      </w:r>
      <w:r>
        <w:rPr>
          <w:rFonts w:hint="eastAsia" w:ascii="仿宋_GB2312" w:hAnsi="仿宋" w:eastAsia="仿宋_GB2312" w:cs="仿宋_GB2312"/>
          <w:sz w:val="32"/>
          <w:szCs w:val="32"/>
          <w:lang w:val="en-US" w:eastAsia="zh-CN"/>
        </w:rPr>
        <w:t>712.45</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256.31</w:t>
      </w:r>
      <w:r>
        <w:rPr>
          <w:rFonts w:hint="eastAsia" w:ascii="仿宋_GB2312" w:hAnsi="仿宋" w:eastAsia="仿宋_GB2312" w:cs="仿宋_GB2312"/>
          <w:sz w:val="32"/>
          <w:szCs w:val="32"/>
        </w:rPr>
        <w:t>%。差异主要原因：一是年初预算未预计上级拨入专项经费。二是本年黑水汛期发生严重泥石流灾害，应急抢险救援经费支出增加。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990.42</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1767.89</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777.47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下降</w:t>
      </w:r>
      <w:r>
        <w:rPr>
          <w:rFonts w:hint="eastAsia" w:ascii="仿宋_GB2312" w:hAnsi="仿宋" w:eastAsia="仿宋_GB2312" w:cs="仿宋_GB2312"/>
          <w:sz w:val="32"/>
          <w:szCs w:val="32"/>
        </w:rPr>
        <w:t>幅度</w:t>
      </w:r>
      <w:r>
        <w:rPr>
          <w:rFonts w:hint="eastAsia" w:ascii="仿宋_GB2312" w:hAnsi="仿宋" w:eastAsia="仿宋_GB2312" w:cs="仿宋_GB2312"/>
          <w:sz w:val="32"/>
          <w:szCs w:val="32"/>
          <w:lang w:val="en-US" w:eastAsia="zh-CN"/>
        </w:rPr>
        <w:t>43.98</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3.本年收入结构分析：本年收入</w:t>
      </w:r>
      <w:r>
        <w:rPr>
          <w:rFonts w:hint="eastAsia" w:ascii="仿宋_GB2312" w:hAnsi="仿宋" w:eastAsia="仿宋_GB2312" w:cs="仿宋_GB2312"/>
          <w:sz w:val="32"/>
          <w:szCs w:val="32"/>
          <w:lang w:val="en-US" w:eastAsia="zh-CN"/>
        </w:rPr>
        <w:t>990.42</w:t>
      </w:r>
      <w:r>
        <w:rPr>
          <w:rFonts w:hint="eastAsia" w:ascii="仿宋_GB2312" w:hAnsi="仿宋" w:eastAsia="仿宋_GB2312" w:cs="仿宋_GB2312"/>
          <w:sz w:val="32"/>
          <w:szCs w:val="32"/>
        </w:rPr>
        <w:t>万元，其中财政拨款收入</w:t>
      </w:r>
      <w:r>
        <w:rPr>
          <w:rFonts w:hint="eastAsia" w:ascii="仿宋_GB2312" w:hAnsi="仿宋" w:eastAsia="仿宋_GB2312" w:cs="仿宋_GB2312"/>
          <w:sz w:val="32"/>
          <w:szCs w:val="32"/>
          <w:lang w:val="en-US" w:eastAsia="zh-CN"/>
        </w:rPr>
        <w:t>990.42</w:t>
      </w:r>
      <w:r>
        <w:rPr>
          <w:rFonts w:hint="eastAsia" w:ascii="仿宋_GB2312" w:hAnsi="仿宋" w:eastAsia="仿宋_GB2312" w:cs="仿宋_GB2312"/>
          <w:sz w:val="32"/>
          <w:szCs w:val="32"/>
        </w:rPr>
        <w:t>万元，占本年收入的100%。</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277.97</w:t>
      </w:r>
      <w:r>
        <w:rPr>
          <w:rFonts w:hint="eastAsia" w:ascii="仿宋_GB2312" w:hAnsi="仿宋" w:eastAsia="仿宋_GB2312" w:cs="仿宋_GB2312"/>
          <w:sz w:val="32"/>
          <w:szCs w:val="32"/>
        </w:rPr>
        <w:t>万元，本年决算数支出</w:t>
      </w:r>
      <w:r>
        <w:rPr>
          <w:rFonts w:hint="eastAsia" w:ascii="仿宋_GB2312" w:hAnsi="仿宋" w:eastAsia="仿宋_GB2312" w:cs="仿宋_GB2312"/>
          <w:sz w:val="32"/>
          <w:szCs w:val="32"/>
          <w:lang w:val="en-US" w:eastAsia="zh-CN"/>
        </w:rPr>
        <w:t>1380.74</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1102.77</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396.72</w:t>
      </w:r>
      <w:r>
        <w:rPr>
          <w:rFonts w:hint="eastAsia" w:ascii="仿宋_GB2312" w:hAnsi="仿宋" w:eastAsia="仿宋_GB2312" w:cs="仿宋_GB2312"/>
          <w:sz w:val="32"/>
          <w:szCs w:val="32"/>
        </w:rPr>
        <w:t>%。实际支出增加主要原因：一是年初预算未预计上级拨入专项经费。二是本年黑水汛期发生严重泥石流灾害，应急抢险救援经费支出增加。</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1380.74</w:t>
      </w:r>
      <w:r>
        <w:rPr>
          <w:rFonts w:hint="eastAsia" w:ascii="仿宋_GB2312" w:hAnsi="仿宋" w:eastAsia="仿宋_GB2312" w:cs="仿宋_GB2312"/>
          <w:sz w:val="32"/>
          <w:szCs w:val="32"/>
        </w:rPr>
        <w:t>万元，比上年度</w:t>
      </w:r>
      <w:r>
        <w:rPr>
          <w:rFonts w:hint="eastAsia" w:ascii="仿宋_GB2312" w:hAnsi="仿宋" w:eastAsia="仿宋_GB2312" w:cs="仿宋_GB2312"/>
          <w:sz w:val="32"/>
          <w:szCs w:val="32"/>
          <w:lang w:val="en-US" w:eastAsia="zh-CN"/>
        </w:rPr>
        <w:t>1118.77</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261.97</w:t>
      </w:r>
      <w:r>
        <w:rPr>
          <w:rFonts w:hint="eastAsia" w:ascii="仿宋_GB2312" w:hAnsi="仿宋" w:eastAsia="仿宋_GB2312" w:cs="仿宋_GB2312"/>
          <w:sz w:val="32"/>
          <w:szCs w:val="32"/>
        </w:rPr>
        <w:t>万元，增幅率</w:t>
      </w:r>
      <w:r>
        <w:rPr>
          <w:rFonts w:hint="eastAsia" w:ascii="仿宋_GB2312" w:hAnsi="仿宋" w:eastAsia="仿宋_GB2312" w:cs="仿宋_GB2312"/>
          <w:sz w:val="32"/>
          <w:szCs w:val="32"/>
          <w:lang w:val="en-US" w:eastAsia="zh-CN"/>
        </w:rPr>
        <w:t>23.42</w:t>
      </w:r>
      <w:r>
        <w:rPr>
          <w:rFonts w:hint="eastAsia" w:ascii="仿宋_GB2312" w:hAnsi="仿宋" w:eastAsia="仿宋_GB2312" w:cs="仿宋_GB2312"/>
          <w:sz w:val="32"/>
          <w:szCs w:val="32"/>
        </w:rPr>
        <w:t>%,差异原因主要一是年初预算未预计上级拨入专项经费。二是本年黑水汛期发生严重泥石流灾害，应急抢险救援经费支出增加。</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1380.74</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1380.74</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591.56</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42.84</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789.18</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57.16</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439.98</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31.87</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151.57</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10.98</w:t>
      </w:r>
      <w:r>
        <w:rPr>
          <w:rFonts w:hint="eastAsia" w:ascii="仿宋_GB2312" w:hAnsi="仿宋" w:eastAsia="仿宋_GB2312" w:cs="仿宋_GB2312"/>
          <w:sz w:val="32"/>
          <w:szCs w:val="32"/>
        </w:rPr>
        <w:t>%，对个人和家庭的补助</w:t>
      </w:r>
      <w:r>
        <w:rPr>
          <w:rFonts w:hint="eastAsia" w:ascii="仿宋_GB2312" w:hAnsi="仿宋" w:eastAsia="仿宋_GB2312" w:cs="仿宋_GB2312"/>
          <w:sz w:val="32"/>
          <w:szCs w:val="32"/>
          <w:lang w:val="en-US" w:eastAsia="zh-CN"/>
        </w:rPr>
        <w:t>0.01</w:t>
      </w:r>
      <w:r>
        <w:rPr>
          <w:rFonts w:hint="eastAsia" w:ascii="仿宋_GB2312" w:hAnsi="仿宋" w:eastAsia="仿宋_GB2312" w:cs="仿宋_GB2312"/>
          <w:sz w:val="32"/>
          <w:szCs w:val="32"/>
        </w:rPr>
        <w:t>万元，占本年支出</w:t>
      </w:r>
      <w:r>
        <w:rPr>
          <w:rFonts w:hint="eastAsia" w:ascii="仿宋_GB2312" w:hAnsi="仿宋" w:eastAsia="仿宋_GB2312" w:cs="仿宋_GB2312"/>
          <w:sz w:val="32"/>
          <w:szCs w:val="32"/>
          <w:lang w:val="en-US" w:eastAsia="zh-CN"/>
        </w:rPr>
        <w:t>0.0007</w:t>
      </w:r>
      <w:r>
        <w:rPr>
          <w:rFonts w:hint="eastAsia" w:ascii="仿宋_GB2312" w:hAnsi="仿宋" w:eastAsia="仿宋_GB2312" w:cs="仿宋_GB2312"/>
          <w:sz w:val="32"/>
          <w:szCs w:val="32"/>
        </w:rPr>
        <w:t>%，资本性支出</w:t>
      </w:r>
      <w:r>
        <w:rPr>
          <w:rFonts w:hint="eastAsia" w:ascii="仿宋_GB2312" w:hAnsi="仿宋" w:eastAsia="仿宋_GB2312" w:cs="仿宋_GB2312"/>
          <w:sz w:val="32"/>
          <w:szCs w:val="32"/>
          <w:lang w:val="en-US" w:eastAsia="zh-CN"/>
        </w:rPr>
        <w:t>789.18</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占本年支出</w:t>
      </w:r>
      <w:r>
        <w:rPr>
          <w:rFonts w:hint="eastAsia" w:ascii="仿宋_GB2312" w:hAnsi="仿宋" w:eastAsia="仿宋_GB2312" w:cs="仿宋_GB2312"/>
          <w:sz w:val="32"/>
          <w:szCs w:val="32"/>
          <w:lang w:val="en-US" w:eastAsia="zh-CN"/>
        </w:rPr>
        <w:t>57.16</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调入</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分别用于</w:t>
      </w:r>
      <w:r>
        <w:rPr>
          <w:rFonts w:hint="eastAsia" w:ascii="仿宋_GB2312" w:hAnsi="仿宋" w:eastAsia="仿宋_GB2312" w:cs="仿宋_GB2312"/>
          <w:sz w:val="32"/>
          <w:szCs w:val="32"/>
          <w:lang w:eastAsia="zh-CN"/>
        </w:rPr>
        <w:t>冬令春荒救助、</w:t>
      </w:r>
      <w:r>
        <w:rPr>
          <w:rFonts w:hint="eastAsia" w:ascii="仿宋_GB2312" w:hAnsi="仿宋" w:eastAsia="仿宋_GB2312" w:cs="仿宋_GB2312"/>
          <w:sz w:val="32"/>
          <w:szCs w:val="32"/>
        </w:rPr>
        <w:t>应急抢险救援、避险转移安置、</w:t>
      </w:r>
      <w:r>
        <w:rPr>
          <w:rFonts w:hint="eastAsia" w:ascii="仿宋_GB2312" w:hAnsi="仿宋" w:eastAsia="仿宋_GB2312" w:cs="仿宋_GB2312"/>
          <w:sz w:val="32"/>
          <w:szCs w:val="32"/>
          <w:lang w:eastAsia="zh-CN"/>
        </w:rPr>
        <w:t>应急指挥中心建设</w:t>
      </w:r>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结合评价得分评价结果为良好。</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年初经费预算与实际支付情况存在差异。年初虽有预算计划，因202</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年黑水汛期发生严重泥石流灾害，应急抢险救援经费支出增加等客观因素,与实际支付情况存在差异。</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年8月1</w:t>
      </w:r>
      <w:r>
        <w:rPr>
          <w:rFonts w:hint="eastAsia" w:ascii="仿宋_GB2312" w:hAnsi="仿宋_GB2312" w:eastAsia="仿宋_GB2312" w:cs="仿宋_GB2312"/>
          <w:sz w:val="32"/>
          <w:szCs w:val="32"/>
          <w:lang w:val="en-US" w:eastAsia="zh-CN"/>
        </w:rPr>
        <w:t>8</w:t>
      </w:r>
      <w:bookmarkStart w:id="1" w:name="_GoBack"/>
      <w:bookmarkEnd w:id="1"/>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mMjY5ZDBlNWJjZGQwN2U4YzQ1MWFhMTVhYWNhZjAifQ=="/>
  </w:docVars>
  <w:rsids>
    <w:rsidRoot w:val="00491B22"/>
    <w:rsid w:val="00291808"/>
    <w:rsid w:val="00491B22"/>
    <w:rsid w:val="0052390C"/>
    <w:rsid w:val="08AD0CC8"/>
    <w:rsid w:val="25ED4C95"/>
    <w:rsid w:val="26660E24"/>
    <w:rsid w:val="28293CA6"/>
    <w:rsid w:val="34EB1F43"/>
    <w:rsid w:val="36435EC2"/>
    <w:rsid w:val="4915480B"/>
    <w:rsid w:val="4EBB0CBB"/>
    <w:rsid w:val="56FF3A83"/>
    <w:rsid w:val="581D30C0"/>
    <w:rsid w:val="60D032A5"/>
    <w:rsid w:val="696B32FB"/>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400</Words>
  <Characters>403</Characters>
  <Lines>2</Lines>
  <Paragraphs>1</Paragraphs>
  <TotalTime>20</TotalTime>
  <ScaleCrop>false</ScaleCrop>
  <LinksUpToDate>false</LinksUpToDate>
  <CharactersWithSpaces>403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杨丽</cp:lastModifiedBy>
  <dcterms:modified xsi:type="dcterms:W3CDTF">2022-08-18T02:17:54Z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C03C64190D1949C7BEC260CAD3EC8F89</vt:lpwstr>
  </property>
</Properties>
</file>