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黑水县应急指挥中心</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22</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黑水县应急指挥中心是公益一类事业单位，是全县一级预算单位。</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根据《黑水县机构改革方案》（黑委办发〔2019〕1号）和《关于〈黑水县机构改革方案〉的实施意见》（黑机改〔2019〕4号）文件规定，主要职责是：1、负责应急管理工作，组织和指导各乡镇、县级各部门(单位)应对安全生产类、自然灾害类等突发事件和综合防灾减灾救灾工作。负责安全生产综合监督管理和工矿商贸行业安全生产监督管理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2、拟订应急管理、安全生产等规范性文件，组织编制应急体系建设、安全生产和综合防灾减灾规划。</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4、牵头建立统一的应急管理信息系统，负责信息传输渠道的规划和布局，建立监测预警和灾情报告制度，健全自然灾害信息资源获取和共享机制，依法统一发布灾情。</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5、负责组织、指导、协调安全生产类、自然灾害类等突发事件应急救援，承担全县应对一般及以上灾害指挥部工作，综合研判突发事件发展态势并提出应对建议，负责组织一般及以上灾害应急处置工作。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6、统一协调指挥各类应急专业队伍，建立应急协调联动机制，推进指挥平台对接。提请衔接解放军和武警部队参与应急救援工作。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8、按照国家、省、州相关政策和县委、县政府相关规定负责消防工作，组织和指导消防监督、火灾预防、火灾扑救等工作。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9、负责自然灾害综合监测预警工作，承担自然灾害综合风险评估工作，指导协调森林和草原火灾、水旱灾害、地震和地质灾害等防治工作。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10、负责组织、协调灾害救助工作，组织和指导灾情核查、损失评估、救灾捐赠工作，管理、分配中央、省、州下拨及县级救灾款物并监督使用。</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11、依法承担县政府安全生产综合监督管理责任，指导协调、监督检查县直有关部门和各乡镇安全生产工作，组织开展安全生产巡查、督查、考核工作。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13、承担非煤矿山、危险化学品、非药品类易制毒化学品和烟花爆竹等生产经营单位安全生产准入管理责任。</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14、依法组织、指导生产安全事故调查处理，监督事故查处和责任追究落实情况。组织开展自然灾害类突发事件的调查评估工作。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15、开展应急管理和安全生产方面的交流与合作，组织参与安全生产类、自然灾害类等突发事件的跨区域救援工作。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16、制定应急物资储备和应急救援装备规划并组织实施，会同县发改局等部门建立健全应急物资信息平台和调拨制度，在救灾时统一调度。</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17、负责应急管理、安全生产宣传教育和培训工作，组织和指导应急管理、安全生产的科学技术推广应用和信息化建设工作。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18、负责职责范围内的职业健康、生态环境保护、公共机构节能减排、审批服务便民化工作。</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19、完成县委、县政府交办的其他任务。</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财产安全放在首位，确保受灾群众基本生活，加强应急预案演练，增强全民防灾减灾意识，提升公众知识普及和自救互救技能，切实减少人员伤亡和财产损失。三是树立安全发展理念，坚持生命至上、安全第一，完善安全生产责任制，努力杜绝重特大事故、遏制较大事故、减少一般事故。</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应急指挥中心总编制17名，其中：事业编制17名。实有在职职工17名，其中，专业技术人员10名，管理人员6名，事业工勤1名。</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收入与预算对比分析：本单位2022年年初预算安排收入</w:t>
      </w:r>
      <w:r>
        <w:rPr>
          <w:rFonts w:hint="eastAsia" w:ascii="仿宋_GB2312" w:hAnsi="仿宋" w:eastAsia="仿宋_GB2312" w:cs="仿宋_GB2312"/>
          <w:sz w:val="32"/>
          <w:szCs w:val="32"/>
          <w:lang w:val="en-US" w:eastAsia="zh-CN"/>
        </w:rPr>
        <w:t>164.78</w:t>
      </w:r>
      <w:r>
        <w:rPr>
          <w:rFonts w:hint="eastAsia" w:ascii="仿宋_GB2312" w:hAnsi="仿宋" w:eastAsia="仿宋_GB2312" w:cs="仿宋_GB2312"/>
          <w:sz w:val="32"/>
          <w:szCs w:val="32"/>
        </w:rPr>
        <w:t>万元，本年实际收入</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万元，本年实际收入与年初预算增加</w:t>
      </w:r>
      <w:r>
        <w:rPr>
          <w:rFonts w:hint="eastAsia" w:ascii="仿宋_GB2312" w:hAnsi="仿宋" w:eastAsia="仿宋_GB2312" w:cs="仿宋_GB2312"/>
          <w:sz w:val="32"/>
          <w:szCs w:val="32"/>
          <w:lang w:val="en-US" w:eastAsia="zh-CN"/>
        </w:rPr>
        <w:t>192.35</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116.73</w:t>
      </w:r>
      <w:r>
        <w:rPr>
          <w:rFonts w:hint="eastAsia" w:ascii="仿宋_GB2312" w:hAnsi="仿宋" w:eastAsia="仿宋_GB2312" w:cs="仿宋_GB2312"/>
          <w:sz w:val="32"/>
          <w:szCs w:val="32"/>
        </w:rPr>
        <w:t>%。差异主要原因：一是：2022年，应急指挥中心新增5名事业人员，工资支出、社会保障和就业支出、卫生健康支出、住房保障支出均相应增加；二是：年中州上下达项目资金，收入增加。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本年收入与上年收入的对比分析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本年度实际收入</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万元，比上年度收入</w:t>
      </w:r>
      <w:r>
        <w:rPr>
          <w:rFonts w:hint="eastAsia" w:ascii="仿宋_GB2312" w:hAnsi="仿宋" w:eastAsia="仿宋_GB2312" w:cs="仿宋_GB2312"/>
          <w:sz w:val="32"/>
          <w:szCs w:val="32"/>
          <w:lang w:val="en-US" w:eastAsia="zh-CN"/>
        </w:rPr>
        <w:t>198.13</w:t>
      </w:r>
      <w:r>
        <w:rPr>
          <w:rFonts w:hint="eastAsia" w:ascii="仿宋_GB2312" w:hAnsi="仿宋" w:eastAsia="仿宋_GB2312" w:cs="仿宋_GB2312"/>
          <w:sz w:val="32"/>
          <w:szCs w:val="32"/>
        </w:rPr>
        <w:t>万元增加</w:t>
      </w:r>
      <w:r>
        <w:rPr>
          <w:rFonts w:hint="eastAsia" w:ascii="仿宋_GB2312" w:hAnsi="仿宋" w:eastAsia="仿宋_GB2312" w:cs="仿宋_GB2312"/>
          <w:sz w:val="32"/>
          <w:szCs w:val="32"/>
          <w:lang w:val="en-US" w:eastAsia="zh-CN"/>
        </w:rPr>
        <w:t>159</w:t>
      </w:r>
      <w:r>
        <w:rPr>
          <w:rFonts w:hint="eastAsia" w:ascii="仿宋_GB2312" w:hAnsi="仿宋" w:eastAsia="仿宋_GB2312" w:cs="仿宋_GB2312"/>
          <w:sz w:val="32"/>
          <w:szCs w:val="32"/>
        </w:rPr>
        <w:t>万元，增幅</w:t>
      </w:r>
      <w:r>
        <w:rPr>
          <w:rFonts w:hint="eastAsia" w:ascii="仿宋_GB2312" w:hAnsi="仿宋" w:eastAsia="仿宋_GB2312" w:cs="仿宋_GB2312"/>
          <w:sz w:val="32"/>
          <w:szCs w:val="32"/>
          <w:lang w:val="en-US" w:eastAsia="zh-CN"/>
        </w:rPr>
        <w:t>80.25</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本年收入结构分析：本年收入</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万元，按资金来源分析：其中财政拨款收入</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万元，占本年收入的100%。</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1．支出与预算对比分析：本年预算支出</w:t>
      </w:r>
      <w:r>
        <w:rPr>
          <w:rFonts w:hint="eastAsia" w:ascii="仿宋_GB2312" w:hAnsi="仿宋" w:eastAsia="仿宋_GB2312" w:cs="仿宋_GB2312"/>
          <w:sz w:val="32"/>
          <w:szCs w:val="32"/>
          <w:lang w:val="en-US" w:eastAsia="zh-CN"/>
        </w:rPr>
        <w:t>164.78</w:t>
      </w:r>
      <w:r>
        <w:rPr>
          <w:rFonts w:hint="eastAsia" w:ascii="仿宋_GB2312" w:hAnsi="仿宋" w:eastAsia="仿宋_GB2312" w:cs="仿宋_GB2312"/>
          <w:sz w:val="32"/>
          <w:szCs w:val="32"/>
        </w:rPr>
        <w:t>万元，本年决算数支出</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万元，本年实际支出比预算支出增加</w:t>
      </w:r>
      <w:r>
        <w:rPr>
          <w:rFonts w:hint="eastAsia" w:ascii="仿宋_GB2312" w:hAnsi="仿宋" w:eastAsia="仿宋_GB2312" w:cs="仿宋_GB2312"/>
          <w:sz w:val="32"/>
          <w:szCs w:val="32"/>
          <w:lang w:val="en-US" w:eastAsia="zh-CN"/>
        </w:rPr>
        <w:t>192.35</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116.73</w:t>
      </w:r>
      <w:r>
        <w:rPr>
          <w:rFonts w:hint="eastAsia" w:ascii="仿宋_GB2312" w:hAnsi="仿宋" w:eastAsia="仿宋_GB2312" w:cs="仿宋_GB2312"/>
          <w:sz w:val="32"/>
          <w:szCs w:val="32"/>
        </w:rPr>
        <w:t>%。差异主要原因：一是：2022年，应急指挥中心新增5名事业人员，工资支出、社会保障和就业支出、卫生健康支出、住房保障支出均相应增加；二是：年中州上下达项目资金，收入增加。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2．本年支出与上年支出的对比分析: 本年度实际支出</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万元，较上年度</w:t>
      </w:r>
      <w:r>
        <w:rPr>
          <w:rFonts w:hint="eastAsia" w:ascii="仿宋_GB2312" w:hAnsi="仿宋" w:eastAsia="仿宋_GB2312" w:cs="仿宋_GB2312"/>
          <w:sz w:val="32"/>
          <w:szCs w:val="32"/>
          <w:lang w:val="en-US" w:eastAsia="zh-CN"/>
        </w:rPr>
        <w:t>214.45</w:t>
      </w:r>
      <w:r>
        <w:rPr>
          <w:rFonts w:hint="eastAsia" w:ascii="仿宋_GB2312" w:hAnsi="仿宋" w:eastAsia="仿宋_GB2312" w:cs="仿宋_GB2312"/>
          <w:sz w:val="32"/>
          <w:szCs w:val="32"/>
        </w:rPr>
        <w:t>万元，增加</w:t>
      </w:r>
      <w:r>
        <w:rPr>
          <w:rFonts w:hint="eastAsia" w:ascii="仿宋_GB2312" w:hAnsi="仿宋" w:eastAsia="仿宋_GB2312" w:cs="仿宋_GB2312"/>
          <w:sz w:val="32"/>
          <w:szCs w:val="32"/>
          <w:lang w:val="en-US" w:eastAsia="zh-CN"/>
        </w:rPr>
        <w:t>142.68</w:t>
      </w:r>
      <w:r>
        <w:rPr>
          <w:rFonts w:hint="eastAsia" w:ascii="仿宋_GB2312" w:hAnsi="仿宋" w:eastAsia="仿宋_GB2312" w:cs="仿宋_GB2312"/>
          <w:sz w:val="32"/>
          <w:szCs w:val="32"/>
        </w:rPr>
        <w:t>万元，增幅</w:t>
      </w:r>
      <w:r>
        <w:rPr>
          <w:rFonts w:hint="eastAsia" w:ascii="仿宋_GB2312" w:hAnsi="仿宋" w:eastAsia="仿宋_GB2312" w:cs="仿宋_GB2312"/>
          <w:sz w:val="32"/>
          <w:szCs w:val="32"/>
          <w:lang w:val="en-US" w:eastAsia="zh-CN"/>
        </w:rPr>
        <w:t>66.53</w:t>
      </w:r>
      <w:r>
        <w:rPr>
          <w:rFonts w:hint="eastAsia" w:ascii="仿宋_GB2312" w:hAnsi="仿宋" w:eastAsia="仿宋_GB2312" w:cs="仿宋_GB2312"/>
          <w:sz w:val="32"/>
          <w:szCs w:val="32"/>
        </w:rPr>
        <w:t xml:space="preserve">%,差异原因：一是：2022年，应急指挥中心新增5名事业人员，工资支出、社会保障和就业支出、卫生健康支出、住房保障支出均相应增加；二是：年中州上下达项目资金，收入增加，支出增加。   </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3.本年支出结构分析: 本年支出</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万元，按资金来源分析：其中财政拨款支出</w:t>
      </w:r>
      <w:r>
        <w:rPr>
          <w:rFonts w:hint="eastAsia" w:ascii="仿宋_GB2312" w:hAnsi="仿宋" w:eastAsia="仿宋_GB2312" w:cs="仿宋_GB2312"/>
          <w:sz w:val="32"/>
          <w:szCs w:val="32"/>
          <w:lang w:val="en-US" w:eastAsia="zh-CN"/>
        </w:rPr>
        <w:t>357.13</w:t>
      </w:r>
      <w:r>
        <w:rPr>
          <w:rFonts w:hint="eastAsia" w:ascii="仿宋_GB2312" w:hAnsi="仿宋" w:eastAsia="仿宋_GB2312" w:cs="仿宋_GB2312"/>
          <w:sz w:val="32"/>
          <w:szCs w:val="32"/>
        </w:rPr>
        <w:t>万元，占本年总支出的100%；按支出性质分析：基本支出</w:t>
      </w:r>
      <w:r>
        <w:rPr>
          <w:rFonts w:hint="eastAsia" w:ascii="仿宋_GB2312" w:hAnsi="仿宋" w:eastAsia="仿宋_GB2312" w:cs="仿宋_GB2312"/>
          <w:sz w:val="32"/>
          <w:szCs w:val="32"/>
          <w:lang w:val="en-US" w:eastAsia="zh-CN"/>
        </w:rPr>
        <w:t>340.21</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95.26</w:t>
      </w:r>
      <w:r>
        <w:rPr>
          <w:rFonts w:hint="eastAsia" w:ascii="仿宋_GB2312" w:hAnsi="仿宋" w:eastAsia="仿宋_GB2312" w:cs="仿宋_GB2312"/>
          <w:sz w:val="32"/>
          <w:szCs w:val="32"/>
        </w:rPr>
        <w:t>%，项目支出</w:t>
      </w:r>
      <w:r>
        <w:rPr>
          <w:rFonts w:hint="eastAsia" w:ascii="仿宋_GB2312" w:hAnsi="仿宋" w:eastAsia="仿宋_GB2312" w:cs="仿宋_GB2312"/>
          <w:sz w:val="32"/>
          <w:szCs w:val="32"/>
          <w:lang w:val="en-US" w:eastAsia="zh-CN"/>
        </w:rPr>
        <w:t>16.92</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4.74</w:t>
      </w:r>
      <w:r>
        <w:rPr>
          <w:rFonts w:hint="eastAsia" w:ascii="仿宋_GB2312" w:hAnsi="仿宋" w:eastAsia="仿宋_GB2312" w:cs="仿宋_GB2312"/>
          <w:sz w:val="32"/>
          <w:szCs w:val="32"/>
        </w:rPr>
        <w:t>%；按支出经济分类：工资福利支出</w:t>
      </w:r>
      <w:r>
        <w:rPr>
          <w:rFonts w:hint="eastAsia" w:ascii="仿宋_GB2312" w:hAnsi="仿宋" w:eastAsia="仿宋_GB2312" w:cs="仿宋_GB2312"/>
          <w:sz w:val="32"/>
          <w:szCs w:val="32"/>
          <w:lang w:val="en-US" w:eastAsia="zh-CN"/>
        </w:rPr>
        <w:t>304.07</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85.14</w:t>
      </w:r>
      <w:r>
        <w:rPr>
          <w:rFonts w:hint="eastAsia" w:ascii="仿宋_GB2312" w:hAnsi="仿宋" w:eastAsia="仿宋_GB2312" w:cs="仿宋_GB2312"/>
          <w:sz w:val="32"/>
          <w:szCs w:val="32"/>
        </w:rPr>
        <w:t>%，商品和服务支出</w:t>
      </w:r>
      <w:r>
        <w:rPr>
          <w:rFonts w:hint="eastAsia" w:ascii="仿宋_GB2312" w:hAnsi="仿宋" w:eastAsia="仿宋_GB2312" w:cs="仿宋_GB2312"/>
          <w:sz w:val="32"/>
          <w:szCs w:val="32"/>
          <w:lang w:val="en-US" w:eastAsia="zh-CN"/>
        </w:rPr>
        <w:t>36.14</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10.12</w:t>
      </w:r>
      <w:r>
        <w:rPr>
          <w:rFonts w:hint="eastAsia" w:ascii="仿宋_GB2312" w:hAnsi="仿宋" w:eastAsia="仿宋_GB2312" w:cs="仿宋_GB2312"/>
          <w:sz w:val="32"/>
          <w:szCs w:val="32"/>
        </w:rPr>
        <w:t>%，对个人和家庭的补助支出</w:t>
      </w:r>
      <w:r>
        <w:rPr>
          <w:rFonts w:hint="eastAsia" w:ascii="仿宋_GB2312" w:hAnsi="仿宋" w:eastAsia="仿宋_GB2312" w:cs="仿宋_GB2312"/>
          <w:sz w:val="32"/>
          <w:szCs w:val="32"/>
          <w:lang w:val="en-US" w:eastAsia="zh-CN"/>
        </w:rPr>
        <w:t>16.92</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4.74</w:t>
      </w:r>
      <w:r>
        <w:rPr>
          <w:rFonts w:hint="eastAsia" w:ascii="仿宋_GB2312" w:hAnsi="仿宋" w:eastAsia="仿宋_GB2312" w:cs="仿宋_GB2312"/>
          <w:sz w:val="32"/>
          <w:szCs w:val="32"/>
        </w:rPr>
        <w:t>%。</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本年项目为：</w:t>
      </w:r>
      <w:r>
        <w:rPr>
          <w:rFonts w:hint="eastAsia" w:ascii="仿宋_GB2312" w:hAnsi="仿宋" w:eastAsia="仿宋_GB2312" w:cs="仿宋_GB2312"/>
          <w:b/>
          <w:bCs/>
          <w:sz w:val="32"/>
          <w:szCs w:val="32"/>
        </w:rPr>
        <w:t>中央、省、州资金：</w:t>
      </w:r>
      <w:r>
        <w:rPr>
          <w:rFonts w:hint="eastAsia" w:ascii="仿宋_GB2312" w:hAnsi="仿宋" w:eastAsia="仿宋_GB2312" w:cs="仿宋_GB2312"/>
          <w:sz w:val="32"/>
          <w:szCs w:val="32"/>
        </w:rPr>
        <w:t>（1）冬令春荒临时生活救助资金：16.92万元。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包括部门绩效目标制定、目标完成、预算编制准确、支出控制、预算动态调整、执行进度、预算完成情况和违规记录等情况：202</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年本部门的绩效目标制定、目标完成、预算编制等均按照县财政局下达的相关文件指标进行了编制，均按相关要求严格执行预算范围内开支，并完成所有预定目标，年中人员</w:t>
      </w:r>
      <w:r>
        <w:rPr>
          <w:rFonts w:hint="eastAsia" w:ascii="仿宋_GB2312" w:hAnsi="仿宋" w:eastAsia="仿宋_GB2312" w:cs="仿宋_GB2312"/>
          <w:sz w:val="32"/>
          <w:szCs w:val="32"/>
          <w:lang w:eastAsia="zh-CN"/>
        </w:rPr>
        <w:t>调入</w:t>
      </w:r>
      <w:r>
        <w:rPr>
          <w:rFonts w:hint="eastAsia" w:ascii="仿宋_GB2312" w:hAnsi="仿宋" w:eastAsia="仿宋_GB2312" w:cs="仿宋_GB2312"/>
          <w:sz w:val="32"/>
          <w:szCs w:val="32"/>
        </w:rPr>
        <w:t>本单位，及时进行了预算动态调整，全年无违规记录。</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本单位严格执行《四川省省级财政专项资金绩效分配管理暂行办法》，按照省级的专项资金管理办法，实施专款专用原则根据各项目进展、完成情况，合理规划、科学分配专项资金，用于</w:t>
      </w:r>
      <w:r>
        <w:rPr>
          <w:rFonts w:hint="eastAsia" w:ascii="仿宋_GB2312" w:hAnsi="仿宋" w:eastAsia="仿宋_GB2312" w:cs="仿宋_GB2312"/>
          <w:sz w:val="32"/>
          <w:szCs w:val="32"/>
          <w:lang w:eastAsia="zh-CN"/>
        </w:rPr>
        <w:t>冬令春荒救助</w:t>
      </w:r>
      <w:r>
        <w:rPr>
          <w:rFonts w:hint="eastAsia" w:ascii="仿宋_GB2312" w:hAnsi="仿宋" w:eastAsia="仿宋_GB2312" w:cs="仿宋_GB2312"/>
          <w:sz w:val="32"/>
          <w:szCs w:val="32"/>
        </w:rPr>
        <w:t>等专项项目上。完成专项预算绩效目标，无违规记录。</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结果，对被评价项目绩效情况完成的程度和存在问题与建议加以综合分析，强化评价结果的应用，一是评价结果优秀且绩效突出的，在安排后续资金时给与充分保障；二是评价结果良好和合格的，在项目股室对存在的问题整改后，按正常从紧原则,编制预算，安排下一年度财政资金；三是评价结果为不合格的，对于实施过程评价的项目，要及时提出整改意见,未按要求整改的，要向同级政府提出暂停该项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包括部门自评质量、绩效目标公开和自评公开、评价结果整改和应用结果反馈等情况：本单位按照财政局下达的预算指标，严格执行预算内开支，保障了单位正常运转，具体有：202</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全县</w:t>
      </w:r>
      <w:r>
        <w:rPr>
          <w:rFonts w:hint="eastAsia" w:ascii="仿宋_GB2312" w:hAnsi="仿宋" w:eastAsia="仿宋_GB2312" w:cs="仿宋_GB2312"/>
          <w:sz w:val="32"/>
          <w:szCs w:val="32"/>
          <w:lang w:eastAsia="zh-CN"/>
        </w:rPr>
        <w:t>应急管理、</w:t>
      </w:r>
      <w:r>
        <w:rPr>
          <w:rFonts w:hint="eastAsia" w:ascii="仿宋_GB2312" w:hAnsi="仿宋" w:eastAsia="仿宋_GB2312" w:cs="仿宋_GB2312"/>
          <w:sz w:val="32"/>
          <w:szCs w:val="32"/>
        </w:rPr>
        <w:t>安全生产工作推进等</w:t>
      </w:r>
      <w:bookmarkStart w:id="1" w:name="_GoBack"/>
      <w:bookmarkEnd w:id="1"/>
      <w:r>
        <w:rPr>
          <w:rFonts w:hint="eastAsia" w:ascii="仿宋_GB2312" w:hAnsi="仿宋" w:eastAsia="仿宋_GB2312" w:cs="仿宋_GB2312"/>
          <w:sz w:val="32"/>
          <w:szCs w:val="32"/>
        </w:rPr>
        <w:t>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部门的预决算编制均按照县财政局下达的相关文件指标进行了编制，按时完成经、编制工作，决算报表和说明均在黑水县政府门户网站公开。绩效目标也按照有关文件如实进行了填报。专项预算也提前进行了规划和筹划。</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部门按照县级部门预算编制通知和有关要求，按时完成基础工作；在县财政局批复日内向社会公开本部门的“三公”经费、机关运行经费的安排、使用情况；本部门的预算执行都达到了执行进度；本单位的财务制度健全，制度执行严格，会计核算符合县财政局的相关规定，资金达到了专款专用，开支标准合理、合法，实现了较高的工作效率和支出绩效。</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结合我单位自评情况，我单位整体支出绩效评价自评总分为94分，评价结果为良好。</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1、从绩效评价看，部门支出预算和绩效评价工作还存在部分项目无法用量化指标来进行考评的问题。</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2、项目绩效信息收集机制不完善，奖惩机制缺乏，由此往往导致支出部]消极应付绩效评价工作，绩效评价结果应用流于形式。</w:t>
      </w:r>
    </w:p>
    <w:p>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（三）改进建议。</w:t>
      </w: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1、我们将进一步重视预算的编制工作，提高预算编制的精确度，提高财政资金使用效率，尽量减少预算执行调整、结转和结余注销的情形。</w:t>
      </w: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2、针对当前财政支出绩效评价结果应用存在的问题，我局</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建立与部门预算相结合的结果应用机制,采取项目预期绩效目标申报制度，强化评价结果在部门预算编制和执行中的应用，实现绩效评价结果在部门预算编制和执行中的应用，实现绩效评价与部门预算的有机结合，促进财政资金的合理分配与有效使用，科学应用财政支出绩效评价结果，提升财政精细化管理水平。</w:t>
      </w:r>
    </w:p>
    <w:p>
      <w:pPr>
        <w:widowControl/>
        <w:ind w:firstLine="642"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项目预期绩效目标申报制度，在布置年度部门预算时，明确项目预期绩效目标的具体申报要求，对那些不设预期绩效目标的不予立项，不安排预算资金；加强对项目预期绩效目标的审核，合理安排项目所需资金，逐步建立和健全项目预期绩效目标申报制度,提高财政资金安排有效性。</w:t>
      </w:r>
    </w:p>
    <w:p>
      <w:pPr>
        <w:widowControl/>
        <w:ind w:firstLine="642"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建立评价结果在部门预算安排执行中的激励与约束机制。结合评价结果，对被评价项目绩效情况完成的程度和存在问题与建议加以综合分析，强化评价结果的应用。</w:t>
      </w:r>
    </w:p>
    <w:p>
      <w:pPr>
        <w:widowControl/>
        <w:ind w:firstLine="640" w:firstLineChars="200"/>
        <w:jc w:val="left"/>
        <w:rPr>
          <w:rFonts w:hint="eastAsia" w:ascii="仿宋_GB2312" w:hAnsi="仿宋_GB2312" w:eastAsia="仿宋_GB2312" w:cs="仿宋_GB2312"/>
          <w:sz w:val="32"/>
          <w:szCs w:val="32"/>
        </w:rPr>
      </w:pPr>
    </w:p>
    <w:p>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黑水县应急管理局</w:t>
      </w:r>
    </w:p>
    <w:p>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年8月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11E39D"/>
    <w:multiLevelType w:val="singleLevel"/>
    <w:tmpl w:val="7C11E3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91B22"/>
    <w:rsid w:val="00291808"/>
    <w:rsid w:val="00491B22"/>
    <w:rsid w:val="0052390C"/>
    <w:rsid w:val="08AD0CC8"/>
    <w:rsid w:val="111B6ACD"/>
    <w:rsid w:val="1FBB0F58"/>
    <w:rsid w:val="25ED4C95"/>
    <w:rsid w:val="265C47F4"/>
    <w:rsid w:val="26660E24"/>
    <w:rsid w:val="27365509"/>
    <w:rsid w:val="28293CA6"/>
    <w:rsid w:val="34EB1F43"/>
    <w:rsid w:val="36435EC2"/>
    <w:rsid w:val="41485829"/>
    <w:rsid w:val="4915480B"/>
    <w:rsid w:val="4EBB0CBB"/>
    <w:rsid w:val="56FF3A83"/>
    <w:rsid w:val="581D30C0"/>
    <w:rsid w:val="5A5340D6"/>
    <w:rsid w:val="60D032A5"/>
    <w:rsid w:val="6337091F"/>
    <w:rsid w:val="696B32FB"/>
    <w:rsid w:val="6E5D529D"/>
    <w:rsid w:val="70FD11B8"/>
    <w:rsid w:val="7BD9226E"/>
    <w:rsid w:val="DFFFF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4673</Words>
  <Characters>4942</Characters>
  <Lines>2</Lines>
  <Paragraphs>1</Paragraphs>
  <TotalTime>13</TotalTime>
  <ScaleCrop>false</ScaleCrop>
  <LinksUpToDate>false</LinksUpToDate>
  <CharactersWithSpaces>4949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2026-07-10T15:42:49Z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4A676B2E80124BDB821B1E305F63F0B2_13</vt:lpwstr>
  </property>
</Properties>
</file>