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黑水县应急管理局（本级）</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黑水县应急管理局是全县一级预算单位。黑水县应急管理局设4个内设机构,分别是：办公室、综合业务股、安全生产监察执法支队、应急指挥中心。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机构改革方案》（黑委办发〔2019〕1号）和《关于〈黑水县机构改革方案〉的实施意见》（黑机改〔2019〕4号）文件规定，主要职责是：1、负责应急管理工作，组织和指导各乡镇、县级各部门(单位)应对安全生产类、自然灾害类等突发事件和综合防灾减灾救灾工作。负责安全生产综合监督管理和工矿商贸行业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2、拟订应急管理、安全生产等规范性文件，组织编制应急体系建设、安全生产和综合防灾减灾规划。</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4、牵头建立统一的应急管理信息系统，负责信息传输渠道的规划和布局，建立监测预警和灾情报告制度，健全自然灾害信息资源获取和共享机制，依法统一发布灾情。</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5、负责组织、指导、协调安全生产类、自然灾害类等突发事件应急救援，承担全县应对一般及以上灾害指挥部工作，综合研判突发事件发展态势并提出应对建议，负责组织一般及以上灾害应急处置工作。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6、统一协调指挥各类应急专业队伍，建立应急协调联动机制，推进指挥平台对接。提请衔接解放军和武警部队参与应急救援工作。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按照国家、省、州相关政策和规定负责消防、森林和草原火灾扑救、抗洪抢险、地震和地质灾害救援、生产安全事故救援等专业应急救援力量建设，依法依规统筹指导各乡镇及社会应急救援力量和应急保障能力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8、按照国家、省、州相关政策和县委、县政府相关规定负责消防工作，组织和指导消防监督、火灾预防、火灾扑救等工作。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9、负责自然灾害综合监测预警工作，承担自然灾害综合风险评估工作，指导协调森林和草原火灾、水旱灾害、地震和地质灾害等防治工作。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10、负责组织、协调灾害救助工作，组织和指导灾情核查、损失评估、救灾捐赠工作，管理、分配中央、省、州下拨及县级救灾款物并监督使用。</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11、依法承担县政府安全生产综合监督管理责任，指导协调、监督检查县直有关部门和各乡镇安全生产工作，组织开展安全生产巡查、督查、考核工作。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12、按照分级、属地原则，依法监督检查工矿商贸生产经营单位贯彻执行安全生产法律法规情况及其安全生产条件和有关设备(特种设备除外)、材料、劳动防护用品的安全生产管理工作。协助做好国家、省、州在县工矿商贸企业安全生产监督管理工作。负责危险化学品综合安全监督管理工作和烟花爆竹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13、承担非煤矿山、危险化学品、非药品类易制毒化学品和烟花爆竹等生产经营单位安全生产准入管理责任。</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14、依法组织、指导生产安全事故调查处理，监督事故查处和责任追究落实情况。组织开展自然灾害类突发事件的调查评估工作。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15、开展应急管理和安全生产方面的交流与合作，组织参与安全生产类、自然灾害类等突发事件的跨区域救援工作。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16、制定应急物资储备和应急救援装备规划并组织实施，会同县发改局等部门建立健全应急物资信息平台和调拨制度，在救灾时统一调度。</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17、负责应急管理、安全生产宣传教育和培训工作，组织和指导应急管理、安全生产的科学技术推广应用和信息化建设工作。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18、负责职责范围内的职业健康、生态环境保护、公共机构节能减排、审批服务便民化工作。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19、完成县委、县政府交办的其他任务。</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职能转变。加强、优化、统筹应急能力建设，构建统一领导、权责一致、权威高效的应急能力体系，推动形成统一指挥、专常兼备、反应灵敏、上下联动、平战结合、特色鲜明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财产安全放在首位，确保受灾群众基本生活，加强应急预案演练，增强全民防灾减灾意识，提升公众知识普及和自救互救技能，切实减少人员伤亡和财产损失。三是树立安全发展理念，坚持生命至上、安全第一，完善安全生产责任制，努力杜绝重特大事故、遏制较大事故、减少一般事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应急管理局编制13名，其中：行政编制7名，参照公务员管理事业编制4名，行政工勤编制2名。实有在职职工13名，其中，公务员7名，参公人员4名，机关工勤2名。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收入与预算对比分析：本单位2022年年初预算安排收入</w:t>
      </w:r>
      <w:r>
        <w:rPr>
          <w:rFonts w:hint="eastAsia" w:ascii="仿宋_GB2312" w:hAnsi="仿宋" w:eastAsia="仿宋_GB2312" w:cs="仿宋_GB2312"/>
          <w:sz w:val="32"/>
          <w:szCs w:val="32"/>
          <w:lang w:val="en-US" w:eastAsia="zh-CN"/>
        </w:rPr>
        <w:t>528.09</w:t>
      </w:r>
      <w:r>
        <w:rPr>
          <w:rFonts w:hint="eastAsia" w:ascii="仿宋_GB2312" w:hAnsi="仿宋" w:eastAsia="仿宋_GB2312" w:cs="仿宋_GB2312"/>
          <w:sz w:val="32"/>
          <w:szCs w:val="32"/>
        </w:rPr>
        <w:t>万元，本年实际收入</w:t>
      </w:r>
      <w:r>
        <w:rPr>
          <w:rFonts w:hint="eastAsia" w:ascii="仿宋_GB2312" w:hAnsi="仿宋" w:eastAsia="仿宋_GB2312" w:cs="仿宋_GB2312"/>
          <w:sz w:val="32"/>
          <w:szCs w:val="32"/>
          <w:lang w:val="en-US" w:eastAsia="zh-CN"/>
        </w:rPr>
        <w:t>995.39</w:t>
      </w:r>
      <w:r>
        <w:rPr>
          <w:rFonts w:hint="eastAsia" w:ascii="仿宋_GB2312" w:hAnsi="仿宋" w:eastAsia="仿宋_GB2312" w:cs="仿宋_GB2312"/>
          <w:sz w:val="32"/>
          <w:szCs w:val="32"/>
        </w:rPr>
        <w:t>万元，本年实际收入与年初预算增加</w:t>
      </w:r>
      <w:r>
        <w:rPr>
          <w:rFonts w:hint="eastAsia" w:ascii="仿宋_GB2312" w:hAnsi="仿宋" w:eastAsia="仿宋_GB2312" w:cs="仿宋_GB2312"/>
          <w:sz w:val="32"/>
          <w:szCs w:val="32"/>
          <w:lang w:val="en-US" w:eastAsia="zh-CN"/>
        </w:rPr>
        <w:t>467.3</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88.49</w:t>
      </w:r>
      <w:r>
        <w:rPr>
          <w:rFonts w:hint="eastAsia" w:ascii="仿宋_GB2312" w:hAnsi="仿宋" w:eastAsia="仿宋_GB2312" w:cs="仿宋_GB2312"/>
          <w:sz w:val="32"/>
          <w:szCs w:val="32"/>
        </w:rPr>
        <w:t>%。差异主要原因：一是：2022年行政新增1名驾驶员，工资支出、社会保障和就业支出、卫生健康支出、住房保障支出均相应增加；二是：年中州上下达项目资金，收入增加。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本年收入与上年收入的对比分析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本年度实际收入</w:t>
      </w:r>
      <w:r>
        <w:rPr>
          <w:rFonts w:hint="eastAsia" w:ascii="仿宋_GB2312" w:hAnsi="仿宋" w:eastAsia="仿宋_GB2312" w:cs="仿宋_GB2312"/>
          <w:sz w:val="32"/>
          <w:szCs w:val="32"/>
          <w:lang w:val="en-US" w:eastAsia="zh-CN"/>
        </w:rPr>
        <w:t>995.39</w:t>
      </w:r>
      <w:r>
        <w:rPr>
          <w:rFonts w:hint="eastAsia" w:ascii="仿宋_GB2312" w:hAnsi="仿宋" w:eastAsia="仿宋_GB2312" w:cs="仿宋_GB2312"/>
          <w:sz w:val="32"/>
          <w:szCs w:val="32"/>
        </w:rPr>
        <w:t>万元，比上年度收入</w:t>
      </w:r>
      <w:r>
        <w:rPr>
          <w:rFonts w:hint="eastAsia" w:ascii="仿宋_GB2312" w:hAnsi="仿宋" w:eastAsia="仿宋_GB2312" w:cs="仿宋_GB2312"/>
          <w:sz w:val="32"/>
          <w:szCs w:val="32"/>
          <w:lang w:val="en-US" w:eastAsia="zh-CN"/>
        </w:rPr>
        <w:t>792.28</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203.11</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25.64</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本年收入结构分析：本年收入</w:t>
      </w:r>
      <w:r>
        <w:rPr>
          <w:rFonts w:hint="eastAsia" w:ascii="仿宋_GB2312" w:hAnsi="仿宋" w:eastAsia="仿宋_GB2312" w:cs="仿宋_GB2312"/>
          <w:sz w:val="32"/>
          <w:szCs w:val="32"/>
          <w:lang w:val="en-US" w:eastAsia="zh-CN"/>
        </w:rPr>
        <w:t>1238.01</w:t>
      </w:r>
      <w:r>
        <w:rPr>
          <w:rFonts w:hint="eastAsia" w:ascii="仿宋_GB2312" w:hAnsi="仿宋" w:eastAsia="仿宋_GB2312" w:cs="仿宋_GB2312"/>
          <w:sz w:val="32"/>
          <w:szCs w:val="32"/>
        </w:rPr>
        <w:t>万元，按资金来源分析：其中财政拨款收入</w:t>
      </w:r>
      <w:r>
        <w:rPr>
          <w:rFonts w:hint="eastAsia" w:ascii="仿宋_GB2312" w:hAnsi="仿宋" w:eastAsia="仿宋_GB2312" w:cs="仿宋_GB2312"/>
          <w:sz w:val="32"/>
          <w:szCs w:val="32"/>
          <w:lang w:val="en-US" w:eastAsia="zh-CN"/>
        </w:rPr>
        <w:t>1238.01</w:t>
      </w:r>
      <w:r>
        <w:rPr>
          <w:rFonts w:hint="eastAsia" w:ascii="仿宋_GB2312" w:hAnsi="仿宋" w:eastAsia="仿宋_GB2312" w:cs="仿宋_GB2312"/>
          <w:sz w:val="32"/>
          <w:szCs w:val="32"/>
        </w:rPr>
        <w:t>万元，占本年收入的100%。</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1．支出与预算对比分析：本年预算支出</w:t>
      </w:r>
      <w:r>
        <w:rPr>
          <w:rFonts w:hint="eastAsia" w:ascii="仿宋_GB2312" w:hAnsi="仿宋" w:eastAsia="仿宋_GB2312" w:cs="仿宋_GB2312"/>
          <w:sz w:val="32"/>
          <w:szCs w:val="32"/>
          <w:lang w:val="en-US" w:eastAsia="zh-CN"/>
        </w:rPr>
        <w:t>528.09</w:t>
      </w:r>
      <w:r>
        <w:rPr>
          <w:rFonts w:hint="eastAsia" w:ascii="仿宋_GB2312" w:hAnsi="仿宋" w:eastAsia="仿宋_GB2312" w:cs="仿宋_GB2312"/>
          <w:sz w:val="32"/>
          <w:szCs w:val="32"/>
        </w:rPr>
        <w:t>万元，本年决算数支出</w:t>
      </w:r>
      <w:r>
        <w:rPr>
          <w:rFonts w:hint="eastAsia" w:ascii="仿宋_GB2312" w:hAnsi="仿宋" w:eastAsia="仿宋_GB2312" w:cs="仿宋_GB2312"/>
          <w:sz w:val="32"/>
          <w:szCs w:val="32"/>
          <w:lang w:val="en-US" w:eastAsia="zh-CN"/>
        </w:rPr>
        <w:t>1238.01</w:t>
      </w:r>
      <w:r>
        <w:rPr>
          <w:rFonts w:hint="eastAsia" w:ascii="仿宋_GB2312" w:hAnsi="仿宋" w:eastAsia="仿宋_GB2312" w:cs="仿宋_GB2312"/>
          <w:sz w:val="32"/>
          <w:szCs w:val="32"/>
        </w:rPr>
        <w:t>万元，本年实际支出比预算支出增加</w:t>
      </w:r>
      <w:r>
        <w:rPr>
          <w:rFonts w:hint="eastAsia" w:ascii="仿宋_GB2312" w:hAnsi="仿宋" w:eastAsia="仿宋_GB2312" w:cs="仿宋_GB2312"/>
          <w:sz w:val="32"/>
          <w:szCs w:val="32"/>
          <w:lang w:val="en-US" w:eastAsia="zh-CN"/>
        </w:rPr>
        <w:t>709.92</w:t>
      </w:r>
      <w:r>
        <w:rPr>
          <w:rFonts w:hint="eastAsia" w:ascii="仿宋_GB2312" w:hAnsi="仿宋" w:eastAsia="仿宋_GB2312" w:cs="仿宋_GB2312"/>
          <w:sz w:val="32"/>
          <w:szCs w:val="32"/>
        </w:rPr>
        <w:t>万元，差异率13</w:t>
      </w:r>
      <w:r>
        <w:rPr>
          <w:rFonts w:hint="eastAsia" w:ascii="仿宋_GB2312" w:hAnsi="仿宋" w:eastAsia="仿宋_GB2312" w:cs="仿宋_GB2312"/>
          <w:sz w:val="32"/>
          <w:szCs w:val="32"/>
          <w:lang w:val="en-US" w:eastAsia="zh-CN"/>
        </w:rPr>
        <w:t>4.43</w:t>
      </w:r>
      <w:r>
        <w:rPr>
          <w:rFonts w:hint="eastAsia" w:ascii="仿宋_GB2312" w:hAnsi="仿宋" w:eastAsia="仿宋_GB2312" w:cs="仿宋_GB2312"/>
          <w:sz w:val="32"/>
          <w:szCs w:val="32"/>
        </w:rPr>
        <w:t>%。差异主要原因：一是：2022年行政新增1名驾驶员，工资支出、社会保障和就业支出、卫生健康支出、住房保障支出均相应增加；二是：年中州上下达项目资金，收入增加。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2．本年支出与上年支出的对比分析: 本年度实际支出</w:t>
      </w:r>
      <w:r>
        <w:rPr>
          <w:rFonts w:hint="eastAsia" w:ascii="仿宋_GB2312" w:hAnsi="仿宋" w:eastAsia="仿宋_GB2312" w:cs="仿宋_GB2312"/>
          <w:sz w:val="32"/>
          <w:szCs w:val="32"/>
          <w:lang w:val="en-US" w:eastAsia="zh-CN"/>
        </w:rPr>
        <w:t>1238.01</w:t>
      </w:r>
      <w:r>
        <w:rPr>
          <w:rFonts w:hint="eastAsia" w:ascii="仿宋_GB2312" w:hAnsi="仿宋" w:eastAsia="仿宋_GB2312" w:cs="仿宋_GB2312"/>
          <w:sz w:val="32"/>
          <w:szCs w:val="32"/>
        </w:rPr>
        <w:t>万元，较上年度</w:t>
      </w:r>
      <w:r>
        <w:rPr>
          <w:rFonts w:hint="eastAsia" w:ascii="仿宋_GB2312" w:hAnsi="仿宋" w:eastAsia="仿宋_GB2312" w:cs="仿宋_GB2312"/>
          <w:sz w:val="32"/>
          <w:szCs w:val="32"/>
          <w:lang w:val="en-US" w:eastAsia="zh-CN"/>
        </w:rPr>
        <w:t>1166.29</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71.72</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6.15</w:t>
      </w:r>
      <w:r>
        <w:rPr>
          <w:rFonts w:hint="eastAsia" w:ascii="仿宋_GB2312" w:hAnsi="仿宋" w:eastAsia="仿宋_GB2312" w:cs="仿宋_GB2312"/>
          <w:sz w:val="32"/>
          <w:szCs w:val="32"/>
        </w:rPr>
        <w:t xml:space="preserve">%,差异原因：一是：2022年行政新增1名驾驶员，工资支出、社会保障和就业支出、卫生健康支出、住房保障支出均相应增加；二是：年中州上下达项目资金，收入增加，支出增加。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3.本年支出结构分析: 本年支出</w:t>
      </w:r>
      <w:r>
        <w:rPr>
          <w:rFonts w:hint="eastAsia" w:ascii="仿宋_GB2312" w:hAnsi="仿宋" w:eastAsia="仿宋_GB2312" w:cs="仿宋_GB2312"/>
          <w:sz w:val="32"/>
          <w:szCs w:val="32"/>
          <w:lang w:val="en-US" w:eastAsia="zh-CN"/>
        </w:rPr>
        <w:t>1238.01</w:t>
      </w:r>
      <w:r>
        <w:rPr>
          <w:rFonts w:hint="eastAsia" w:ascii="仿宋_GB2312" w:hAnsi="仿宋" w:eastAsia="仿宋_GB2312" w:cs="仿宋_GB2312"/>
          <w:sz w:val="32"/>
          <w:szCs w:val="32"/>
        </w:rPr>
        <w:t>万元，按资金来源分析：其中财政拨款支出</w:t>
      </w:r>
      <w:r>
        <w:rPr>
          <w:rFonts w:hint="eastAsia" w:ascii="仿宋_GB2312" w:hAnsi="仿宋" w:eastAsia="仿宋_GB2312" w:cs="仿宋_GB2312"/>
          <w:sz w:val="32"/>
          <w:szCs w:val="32"/>
          <w:lang w:val="en-US" w:eastAsia="zh-CN"/>
        </w:rPr>
        <w:t>1238.01</w:t>
      </w:r>
      <w:r>
        <w:rPr>
          <w:rFonts w:hint="eastAsia" w:ascii="仿宋_GB2312" w:hAnsi="仿宋" w:eastAsia="仿宋_GB2312" w:cs="仿宋_GB2312"/>
          <w:sz w:val="32"/>
          <w:szCs w:val="32"/>
        </w:rPr>
        <w:t>万元，占本年总支出的100%；按支出性质分析：基本支出</w:t>
      </w:r>
      <w:r>
        <w:rPr>
          <w:rFonts w:hint="eastAsia" w:ascii="仿宋_GB2312" w:hAnsi="仿宋" w:eastAsia="仿宋_GB2312" w:cs="仿宋_GB2312"/>
          <w:sz w:val="32"/>
          <w:szCs w:val="32"/>
          <w:lang w:val="en-US" w:eastAsia="zh-CN"/>
        </w:rPr>
        <w:t>323.49</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26.13</w:t>
      </w:r>
      <w:r>
        <w:rPr>
          <w:rFonts w:hint="eastAsia" w:ascii="仿宋_GB2312" w:hAnsi="仿宋" w:eastAsia="仿宋_GB2312" w:cs="仿宋_GB2312"/>
          <w:sz w:val="32"/>
          <w:szCs w:val="32"/>
        </w:rPr>
        <w:t>%，项目支出9</w:t>
      </w:r>
      <w:r>
        <w:rPr>
          <w:rFonts w:hint="eastAsia" w:ascii="仿宋_GB2312" w:hAnsi="仿宋" w:eastAsia="仿宋_GB2312" w:cs="仿宋_GB2312"/>
          <w:sz w:val="32"/>
          <w:szCs w:val="32"/>
          <w:lang w:val="en-US" w:eastAsia="zh-CN"/>
        </w:rPr>
        <w:t>14.52</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73.87</w:t>
      </w:r>
      <w:r>
        <w:rPr>
          <w:rFonts w:hint="eastAsia" w:ascii="仿宋_GB2312" w:hAnsi="仿宋" w:eastAsia="仿宋_GB2312" w:cs="仿宋_GB2312"/>
          <w:sz w:val="32"/>
          <w:szCs w:val="32"/>
        </w:rPr>
        <w:t>%；按支出经济分类：工资福利支出</w:t>
      </w:r>
      <w:r>
        <w:rPr>
          <w:rFonts w:hint="eastAsia" w:ascii="仿宋_GB2312" w:hAnsi="仿宋" w:eastAsia="仿宋_GB2312" w:cs="仿宋_GB2312"/>
          <w:sz w:val="32"/>
          <w:szCs w:val="32"/>
          <w:lang w:val="en-US" w:eastAsia="zh-CN"/>
        </w:rPr>
        <w:t>282.9</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22.85</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56.41</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4.56</w:t>
      </w:r>
      <w:r>
        <w:rPr>
          <w:rFonts w:hint="eastAsia" w:ascii="仿宋_GB2312" w:hAnsi="仿宋" w:eastAsia="仿宋_GB2312" w:cs="仿宋_GB2312"/>
          <w:sz w:val="32"/>
          <w:szCs w:val="32"/>
        </w:rPr>
        <w:t>%，对个人和家庭的补助支出</w:t>
      </w:r>
      <w:r>
        <w:rPr>
          <w:rFonts w:hint="eastAsia" w:ascii="仿宋_GB2312" w:hAnsi="仿宋" w:eastAsia="仿宋_GB2312" w:cs="仿宋_GB2312"/>
          <w:sz w:val="32"/>
          <w:szCs w:val="32"/>
          <w:lang w:val="en-US" w:eastAsia="zh-CN"/>
        </w:rPr>
        <w:t>2.17</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0.18</w:t>
      </w:r>
      <w:r>
        <w:rPr>
          <w:rFonts w:hint="eastAsia" w:ascii="仿宋_GB2312" w:hAnsi="仿宋" w:eastAsia="仿宋_GB2312" w:cs="仿宋_GB2312"/>
          <w:sz w:val="32"/>
          <w:szCs w:val="32"/>
        </w:rPr>
        <w:t>%，资本性支出896.52万元，占本年总支出</w:t>
      </w:r>
      <w:r>
        <w:rPr>
          <w:rFonts w:hint="eastAsia" w:ascii="仿宋_GB2312" w:hAnsi="仿宋" w:eastAsia="仿宋_GB2312" w:cs="仿宋_GB2312"/>
          <w:sz w:val="32"/>
          <w:szCs w:val="32"/>
          <w:lang w:val="en-US" w:eastAsia="zh-CN"/>
        </w:rPr>
        <w:t>72.42</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本年项目为：</w:t>
      </w:r>
      <w:r>
        <w:rPr>
          <w:rFonts w:hint="eastAsia" w:ascii="仿宋_GB2312" w:hAnsi="仿宋" w:eastAsia="仿宋_GB2312" w:cs="仿宋_GB2312"/>
          <w:b/>
          <w:bCs/>
          <w:sz w:val="32"/>
          <w:szCs w:val="32"/>
        </w:rPr>
        <w:t>中央、省、州资金：</w:t>
      </w:r>
      <w:r>
        <w:rPr>
          <w:rFonts w:hint="eastAsia" w:ascii="仿宋_GB2312" w:hAnsi="仿宋" w:eastAsia="仿宋_GB2312" w:cs="仿宋_GB2312"/>
          <w:sz w:val="32"/>
          <w:szCs w:val="32"/>
        </w:rPr>
        <w:t>（1）安全生产目标考核奖励资金：18万元；（2）2021年中省自然灾害救灾资金：137.06万元；（</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）四川省应急救援能力提升行动计划（2019-2021）项目补助资金：210.65万元；（</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）县应急局停机坪建设及外联道路项目代管资金：3.97万元；</w:t>
      </w:r>
      <w:r>
        <w:rPr>
          <w:rFonts w:hint="eastAsia" w:ascii="仿宋_GB2312" w:hAnsi="仿宋" w:eastAsia="仿宋_GB2312" w:cs="仿宋_GB2312"/>
          <w:b/>
          <w:bCs/>
          <w:sz w:val="32"/>
          <w:szCs w:val="32"/>
        </w:rPr>
        <w:t>县级存量资金：</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）防灾减灾专项资金：308.36万元；（</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）防汛抗旱物资采购资金：142.66万元；（</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）消防水罐车采购资金：97.8万元。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年本部门的绩效目标制定、目标完成、预算编制等均按照县财政局下达的相关文件指标进行了编制，均按相关要求严格执行预算范围内开支，并完成所有预定目标，年中人员</w:t>
      </w:r>
      <w:r>
        <w:rPr>
          <w:rFonts w:hint="eastAsia" w:ascii="仿宋_GB2312" w:hAnsi="仿宋" w:eastAsia="仿宋_GB2312" w:cs="仿宋_GB2312"/>
          <w:sz w:val="32"/>
          <w:szCs w:val="32"/>
          <w:lang w:eastAsia="zh-CN"/>
        </w:rPr>
        <w:t>调入</w:t>
      </w:r>
      <w:r>
        <w:rPr>
          <w:rFonts w:hint="eastAsia" w:ascii="仿宋_GB2312" w:hAnsi="仿宋" w:eastAsia="仿宋_GB2312" w:cs="仿宋_GB2312"/>
          <w:sz w:val="32"/>
          <w:szCs w:val="32"/>
        </w:rPr>
        <w:t>本单位，及时进行了预算动态调整，全年无违规记录。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本单位严格执行《四川省省级财政专项资金绩效分配管理暂行办法》，按照省级的专项资金管理办法，实施专款专用原则根据各项目进展、完成情况，合理规划、科学分配专项资金，分别用于</w:t>
      </w:r>
      <w:bookmarkStart w:id="1" w:name="_GoBack"/>
      <w:bookmarkEnd w:id="1"/>
      <w:r>
        <w:rPr>
          <w:rFonts w:hint="eastAsia" w:ascii="仿宋_GB2312" w:hAnsi="仿宋" w:eastAsia="仿宋_GB2312" w:cs="仿宋_GB2312"/>
          <w:sz w:val="32"/>
          <w:szCs w:val="32"/>
        </w:rPr>
        <w:t>应急抢险救援、避险转移安置、</w:t>
      </w:r>
      <w:r>
        <w:rPr>
          <w:rFonts w:hint="eastAsia" w:ascii="仿宋_GB2312" w:hAnsi="仿宋" w:eastAsia="仿宋_GB2312" w:cs="仿宋_GB2312"/>
          <w:sz w:val="32"/>
          <w:szCs w:val="32"/>
          <w:lang w:eastAsia="zh-CN"/>
        </w:rPr>
        <w:t>应急指挥中心建设</w:t>
      </w:r>
      <w:r>
        <w:rPr>
          <w:rFonts w:hint="eastAsia" w:ascii="仿宋_GB2312" w:hAnsi="仿宋" w:eastAsia="仿宋_GB2312" w:cs="仿宋_GB2312"/>
          <w:sz w:val="32"/>
          <w:szCs w:val="32"/>
        </w:rPr>
        <w:t>等专项项目上。完成专项预算绩效目标，无违规记录。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结果，对被评价项目绩效情况完成的程度和存在问题与建议加以综合分析，强化评价结果的应用，一是评价结果优秀且绩效突出的，在安排后续资金时给与充分保障；二是评价结果良好和合格的，在项目股室对存在的问题整改后，按正常从紧原则,编制预算，安排下一年度财政资金；三是评价结果为不合格的，对于实施过程评价的项目，要及时提出整改意见,未按要求整改的，要向同级政府提出暂停该项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w:t>
      </w:r>
      <w:r>
        <w:rPr>
          <w:rFonts w:hint="eastAsia" w:ascii="仿宋_GB2312" w:hAnsi="仿宋" w:eastAsia="仿宋_GB2312" w:cs="仿宋_GB2312"/>
          <w:sz w:val="32"/>
          <w:szCs w:val="32"/>
          <w:lang w:eastAsia="zh-CN"/>
        </w:rPr>
        <w:t>情况</w:t>
      </w:r>
      <w:r>
        <w:rPr>
          <w:rFonts w:hint="eastAsia" w:ascii="仿宋_GB2312" w:hAnsi="仿宋" w:eastAsia="仿宋_GB2312" w:cs="仿宋_GB2312"/>
          <w:sz w:val="32"/>
          <w:szCs w:val="32"/>
        </w:rPr>
        <w:t>包括部门自评质量、绩效目标公开和自评公开、评价结果整改和应用结果反馈等情况：本单位按照财政局下达的预算指标，严格执行预算内开支，保障了单位正常运转，具体有：202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全县</w:t>
      </w:r>
      <w:r>
        <w:rPr>
          <w:rFonts w:hint="eastAsia" w:ascii="仿宋_GB2312" w:hAnsi="仿宋" w:eastAsia="仿宋_GB2312" w:cs="仿宋_GB2312"/>
          <w:sz w:val="32"/>
          <w:szCs w:val="32"/>
          <w:lang w:eastAsia="zh-CN"/>
        </w:rPr>
        <w:t>应急管理、</w:t>
      </w:r>
      <w:r>
        <w:rPr>
          <w:rFonts w:hint="eastAsia" w:ascii="仿宋_GB2312" w:hAnsi="仿宋" w:eastAsia="仿宋_GB2312" w:cs="仿宋_GB2312"/>
          <w:sz w:val="32"/>
          <w:szCs w:val="32"/>
        </w:rPr>
        <w:t>安全生产工作推进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部门的预决算编制均按照县财政局下达的相关文件指标进行了编制，按时完成经、编制工作，决算报表和说明均在黑水县政府门户网站公开。绩效目标也按照有关文件如实进行了填报。专项预算也提前进行了规划和筹划。</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按照县级部门预算编制通知和有关要求，按时完成基础工作；在县财政局批复日内向社会公开本部门的“三公”经费、机关运行经费的安排、使用情况；本部门的预算执行都达到了执行进度；本单位的财务制度健全，制度执行严格，会计核算符合县财政局的相关规定，资金达到了专款专用，开支标准合理、合法，实现了较高的工作效率和支出绩效。</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结合我单位自评情况，我单位整体支出绩效评价自评总分为94分，评价结果为良好。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1、从绩效评价看，部门支出预算和绩效评价工作还存在部分项目无法用量化指标来进行考评的问题。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2、项目绩效信息收集机制不完善，奖惩机制缺乏，由此往往导致支出部]消极应付绩效评价工作，绩效评价结果应用流于形式。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（三）改进建议。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1、我们将进一步重视预算的编制工作，提高预算编制的精确度，提高财政资金使用效率，尽量减少预算执行调整、结转和结余注销的情形。</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2、针对当前财政支出绩效评价结果应用存在的问题，我局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与部门预算相结合的结果应用机制,采取项目预期绩效目标申报制度，强化评价结果在部门预算编制和执行中的应用，实现绩效评价结果在部门预算编制和执行中的应用，实现绩效评价与部门预算的有机结合，促进财政资金的合理分配与有效使用，科学应用财政支出绩效评价结果，提升财政精细化管理水平。</w:t>
      </w:r>
    </w:p>
    <w:p>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立项目预期绩效目标申报制度，在布置年度部门预算时，明确项目预期绩效目标的具体申报要求，对那些不设预期绩效目标的不予立项，不安排预算资金；加强对项目预期绩效目标的审核，合理安排项目所需资金，逐步建立和健全项目预期绩效目标申报制度,提高财政资金安排有效性。</w:t>
      </w:r>
    </w:p>
    <w:p>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建立评价结果在部门预算安排执行中的激励与约束机制。结合评价结果，对被评价项目绩效情况完成的程度和存在问题与建议加以综合分析，强化评价结果的应用。</w:t>
      </w:r>
    </w:p>
    <w:p>
      <w:pPr>
        <w:widowControl/>
        <w:ind w:firstLine="640" w:firstLineChars="200"/>
        <w:jc w:val="left"/>
        <w:rPr>
          <w:rFonts w:hint="eastAsia" w:ascii="仿宋_GB2312" w:hAnsi="仿宋_GB2312" w:eastAsia="仿宋_GB2312" w:cs="仿宋_GB2312"/>
          <w:sz w:val="32"/>
          <w:szCs w:val="32"/>
        </w:rPr>
      </w:pP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黑水县应急管理局</w:t>
      </w: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年8月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1E39D"/>
    <w:multiLevelType w:val="singleLevel"/>
    <w:tmpl w:val="7C11E3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91B22"/>
    <w:rsid w:val="00291808"/>
    <w:rsid w:val="00491B22"/>
    <w:rsid w:val="0052390C"/>
    <w:rsid w:val="08AD0CC8"/>
    <w:rsid w:val="25ED4C95"/>
    <w:rsid w:val="26660E24"/>
    <w:rsid w:val="28293CA6"/>
    <w:rsid w:val="2A450435"/>
    <w:rsid w:val="34EB1F43"/>
    <w:rsid w:val="36435EC2"/>
    <w:rsid w:val="4915480B"/>
    <w:rsid w:val="4EBB0CBB"/>
    <w:rsid w:val="54FC257C"/>
    <w:rsid w:val="56FF3A83"/>
    <w:rsid w:val="581D30C0"/>
    <w:rsid w:val="5B534956"/>
    <w:rsid w:val="60D032A5"/>
    <w:rsid w:val="68C11B82"/>
    <w:rsid w:val="696B32FB"/>
    <w:rsid w:val="6E5D529D"/>
    <w:rsid w:val="6F487810"/>
    <w:rsid w:val="70FD11B8"/>
    <w:rsid w:val="7BD9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4676</Words>
  <Characters>4945</Characters>
  <Lines>2</Lines>
  <Paragraphs>1</Paragraphs>
  <TotalTime>17</TotalTime>
  <ScaleCrop>false</ScaleCrop>
  <LinksUpToDate>false</LinksUpToDate>
  <CharactersWithSpaces>4952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2023-08-31T02:52:07Z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7199681F0D24423C9C090290C0DBF4A4_13</vt:lpwstr>
  </property>
</Properties>
</file>