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中共黑水县委党校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部门201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本单位是正科级全额拨款的事业机构，下设三个股室：办公室、教务股、后勤股。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1、培训和轮训副科级党员领导干部及后备干部，培训村两委会、县级机关股级干部培养理论干部。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2、承办县委、县人民政府举办的专题研讨班。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3、承担县委、县人民政府下达的调研任务，推进理论创新。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4、认真搞好党的理论、路线、方针、政策的宣传。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5、按照国家有关法律法规和政策规定，认真开展干部的继续教育和培训任务。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6、开展同州内外教育或研究机构及组织的交流与合作。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numPr>
          <w:numId w:val="0"/>
        </w:numPr>
        <w:spacing w:line="580" w:lineRule="exact"/>
        <w:ind w:leftChars="20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总编制数13人，其中：行政编制2名、行政工勤1名、事业编制10名。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" w:eastAsia="仿宋_GB2312" w:cs="仿宋_GB2312"/>
          <w:sz w:val="32"/>
          <w:szCs w:val="32"/>
        </w:rPr>
        <w:t>实有人数1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人，其中：行政2名、行政工勤1名、事业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256.32万</w:t>
      </w:r>
      <w:r>
        <w:rPr>
          <w:rFonts w:hint="eastAsia" w:ascii="仿宋_GB2312" w:hAnsi="仿宋" w:eastAsia="仿宋_GB2312" w:cs="仿宋_GB2312"/>
          <w:sz w:val="32"/>
          <w:szCs w:val="32"/>
        </w:rPr>
        <w:t>元；其中当年财政拨款收入：255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0万</w:t>
      </w:r>
      <w:r>
        <w:rPr>
          <w:rFonts w:hint="eastAsia" w:ascii="仿宋_GB2312" w:hAnsi="仿宋" w:eastAsia="仿宋_GB2312" w:cs="仿宋_GB2312"/>
          <w:sz w:val="32"/>
          <w:szCs w:val="32"/>
        </w:rPr>
        <w:t>元，占总收入99%，上年结转1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2万</w:t>
      </w:r>
      <w:r>
        <w:rPr>
          <w:rFonts w:hint="eastAsia" w:ascii="仿宋_GB2312" w:hAnsi="仿宋" w:eastAsia="仿宋_GB2312" w:cs="仿宋_GB2312"/>
          <w:sz w:val="32"/>
          <w:szCs w:val="32"/>
        </w:rPr>
        <w:t>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，占总收入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numPr>
          <w:numId w:val="0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2019年度部门财政资金总支出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256.32万</w:t>
      </w:r>
      <w:r>
        <w:rPr>
          <w:rFonts w:hint="eastAsia" w:ascii="仿宋_GB2312" w:hAnsi="仿宋" w:eastAsia="仿宋_GB2312" w:cs="仿宋_GB2312"/>
          <w:sz w:val="32"/>
          <w:szCs w:val="32"/>
        </w:rPr>
        <w:t>元（其中基本支出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256.32万</w:t>
      </w:r>
      <w:r>
        <w:rPr>
          <w:rFonts w:hint="eastAsia" w:ascii="仿宋_GB2312" w:hAnsi="仿宋" w:eastAsia="仿宋_GB2312" w:cs="仿宋_GB2312"/>
          <w:sz w:val="32"/>
          <w:szCs w:val="32"/>
        </w:rPr>
        <w:t>元）具体为工资福利支出236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6万</w:t>
      </w:r>
      <w:r>
        <w:rPr>
          <w:rFonts w:hint="eastAsia" w:ascii="仿宋_GB2312" w:hAnsi="仿宋" w:eastAsia="仿宋_GB2312" w:cs="仿宋_GB2312"/>
          <w:sz w:val="32"/>
          <w:szCs w:val="32"/>
        </w:rPr>
        <w:t>元，占总支出92%，商品服务支出15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2万</w:t>
      </w:r>
      <w:r>
        <w:rPr>
          <w:rFonts w:hint="eastAsia" w:ascii="仿宋_GB2312" w:hAnsi="仿宋" w:eastAsia="仿宋_GB2312" w:cs="仿宋_GB2312"/>
          <w:sz w:val="32"/>
          <w:szCs w:val="32"/>
        </w:rPr>
        <w:t>元，占总支出6%，对个人家庭补助支出3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5万元</w:t>
      </w:r>
      <w:r>
        <w:rPr>
          <w:rFonts w:hint="eastAsia" w:ascii="仿宋_GB2312" w:hAnsi="仿宋" w:eastAsia="仿宋_GB2312" w:cs="仿宋_GB2312"/>
          <w:sz w:val="32"/>
          <w:szCs w:val="32"/>
        </w:rPr>
        <w:t>，占总支出2%。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本单位绩效目标制定和预算编制按照《中华人民共和国预算法》、《中华人民共和国预算法实施条例》的有关规定，财政支出必须坚持“量入为出、量力而行”的原则，坚持“适度从紧、积极稳妥”的财政政策，保证财政预算顺利实施。一是保障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年度本单位财政供养人员工资的发放；二是保障本单位日常工作正常运转所需经费；三是安排必须的促发展支出。本单位预决算编制均在规定时间内按要求完成报送和公示 。   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部门预算执行进度情况：按月度执行预算，根据县财政部门的要求及时与县财政局进行账务核对，认真核实用款额度，中期评估、节能降耗及“三公”经费预算执行情况等。中共黑水县委党校201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年“三公”经费财政拨款决算数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3.98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万元，其中：公务接待费0.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091</w:t>
      </w:r>
      <w:r>
        <w:rPr>
          <w:rFonts w:hint="eastAsia" w:ascii="仿宋_GB2312" w:hAnsi="仿宋" w:eastAsia="仿宋_GB2312" w:cs="仿宋_GB2312"/>
          <w:sz w:val="32"/>
          <w:szCs w:val="32"/>
        </w:rPr>
        <w:t>万元，公务用车购置及运行维护费201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年预算安排 5万元。201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年安排公务用车运行维护费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3.89</w:t>
      </w:r>
      <w:r>
        <w:rPr>
          <w:rFonts w:hint="eastAsia" w:ascii="仿宋_GB2312" w:hAnsi="仿宋" w:eastAsia="仿宋_GB2312" w:cs="仿宋_GB2312"/>
          <w:sz w:val="32"/>
          <w:szCs w:val="32"/>
        </w:rPr>
        <w:t>万元，无购置费，均与年初预算一致；与上年决算数对比:公务用车运行维护费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0.92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19.1</w:t>
      </w:r>
      <w:r>
        <w:rPr>
          <w:rFonts w:hint="eastAsia" w:ascii="仿宋_GB2312" w:hAnsi="仿宋" w:eastAsia="仿宋_GB2312" w:cs="仿宋_GB2312"/>
          <w:sz w:val="32"/>
          <w:szCs w:val="32"/>
        </w:rPr>
        <w:t>%，其主要原因是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由于长征干部学院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培训班减少以及今年代管资金未纳入决算</w:t>
      </w:r>
      <w:r>
        <w:rPr>
          <w:rFonts w:hint="eastAsia" w:ascii="仿宋_GB2312" w:hAnsi="仿宋" w:eastAsia="仿宋_GB2312" w:cs="仿宋_GB2312"/>
          <w:sz w:val="32"/>
          <w:szCs w:val="32"/>
        </w:rPr>
        <w:t>导致公车运行维护费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；公务接待费与上年相比减少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0.061</w:t>
      </w:r>
      <w:r>
        <w:rPr>
          <w:rFonts w:hint="eastAsia" w:ascii="仿宋_GB2312" w:hAnsi="仿宋" w:eastAsia="仿宋_GB2312" w:cs="仿宋_GB2312"/>
          <w:sz w:val="32"/>
          <w:szCs w:val="32"/>
        </w:rPr>
        <w:t>万元，降低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40.13</w:t>
      </w:r>
      <w:r>
        <w:rPr>
          <w:rFonts w:hint="eastAsia" w:ascii="仿宋_GB2312" w:hAnsi="仿宋" w:eastAsia="仿宋_GB2312" w:cs="仿宋_GB2312"/>
          <w:sz w:val="32"/>
          <w:szCs w:val="32"/>
        </w:rPr>
        <w:t>%；公务用车保有量1辆。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部门自评质量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结合党校的实际,制订出各项规章制度，将各项经济活动划分到具体工作岗位, 按照岗位确定任务、职责和权限，贯彻执行所制订的相关财务制度,加强制度执行的监督。本单位财政资金均实行财政统一管理，专项资金实行专项管理、专款专用，单独核算。在单位日常管理工作中，严格按专项资金管理办法和各项财务管理制度执行。资金拨入和支出会计核算及时、合规合法，审批流程齐全、附件资料完整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绩效目标公开和自评公开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根据相关财经纪律，制定了《财务管理制度》、《财务室工作职责》、《财务内控制度》等，严格按照财务管理制度，及时组织人员按时编报预、决算报表和报告，并及时向主管部门上报，财政局审核通过批复后及时公开预、决算资料，“三公经费”，公务费使用情况等。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评价结果整改和应用结果反馈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本单位财政资金主要用于本单位的基本支出，即工资福利支出、商品服务支出、对个人家庭补助支出。针对本单位工作特点，积极引入现代培训理念，不断创新教学培训的方式、方法和手段，积极采用现场教学、体验式教学、互动教学、情景教学等教学形式。全力打造出了精品课程和骨干教师，全面提升了党校培训工作核心竞争力，单位财务工作在有序开展，整体绩效目标有所实现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（一）评价结论。本次评价结果显示，本单位预算编制合理，基本符合全年各项支出实际，预算执行、管理措施到位，较好地实现了绩效目标，无截留、挪用等违规现象。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（二）存在问题。年度支出预算序时进度无法做到与计划完全相符。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有序跟进年度支出预算的序时工作，进一步加大单位部门内部控制力度，定期反思总结财务工作，及时完善工作中的不足。</w:t>
      </w:r>
      <w:bookmarkStart w:id="1" w:name="_GoBack"/>
      <w:bookmarkEnd w:id="1"/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F024E"/>
    <w:multiLevelType w:val="singleLevel"/>
    <w:tmpl w:val="88CF02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807FAE"/>
    <w:multiLevelType w:val="singleLevel"/>
    <w:tmpl w:val="59807F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1F4D0864"/>
    <w:rsid w:val="36435EC2"/>
    <w:rsid w:val="68A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清歌</cp:lastModifiedBy>
  <dcterms:modified xsi:type="dcterms:W3CDTF">2020-08-12T09:10:59Z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