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黑水县工商业联合会</w:t>
      </w:r>
      <w:r>
        <w:rPr>
          <w:rFonts w:hint="eastAsia" w:ascii="仿宋_GB2312" w:hAnsi="黑体" w:eastAsia="仿宋_GB2312" w:cs="方正小标宋简体"/>
          <w:b/>
          <w:sz w:val="32"/>
          <w:szCs w:val="32"/>
        </w:rPr>
        <w:t>部门20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olor w:val="000000"/>
          <w:sz w:val="32"/>
          <w:szCs w:val="32"/>
        </w:rPr>
        <w:t>黑水县工商联为一级预算单位，内设机构3个(内设：办公室；经济发展部；宣传组织部）。本单位下属二级预算单位0个，其中行政单位0个，参照公务员法管理的事业单位0个，其他事业单位0个。</w:t>
      </w:r>
      <w:r>
        <w:rPr>
          <w:rFonts w:hint="eastAsia" w:ascii="宋体" w:hAnsi="宋体" w:cs="宋体"/>
          <w:color w:val="333333"/>
          <w:sz w:val="30"/>
          <w:szCs w:val="30"/>
          <w:shd w:val="clear" w:color="auto" w:fill="FFFFFF"/>
        </w:rPr>
        <w:t> </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numId w:val="0"/>
        </w:numPr>
        <w:spacing w:line="580" w:lineRule="exact"/>
        <w:ind w:left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根据《中华全国工商业联合会章程》、《中共中央 国务院关于加强和改进新形式下工商联工作的意见》(中发〔2010〕16号）文件规定，工商联是中国共产党领导的以非公有制企业和非公有制经济人士为主体的人民团体和商会组织，是党和政府联系非公有制经济人士的桥梁和纽带，是政府管理非公有制经济的助手。加强非公有制经济代表人士思想政治工作；引导非公有制经济和非公有制经济代表人士健康成长；积极参政议政、发挥民主监督作用；服务非公有制经济发展，参加各种商务活动；履行社会团体业务主管单位职责，促进行业协会商会改革发展是工商联的主要职责。</w:t>
      </w:r>
    </w:p>
    <w:p>
      <w:pPr>
        <w:numPr>
          <w:numId w:val="0"/>
        </w:numPr>
        <w:spacing w:line="580" w:lineRule="exact"/>
        <w:ind w:leftChars="200"/>
        <w:rPr>
          <w:rFonts w:hint="eastAsia" w:ascii="仿宋_GB2312" w:hAnsi="仿宋" w:eastAsia="仿宋_GB2312" w:cs="仿宋_GB2312"/>
          <w:sz w:val="32"/>
          <w:szCs w:val="32"/>
        </w:rPr>
      </w:pP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olor w:val="000000"/>
          <w:sz w:val="32"/>
          <w:szCs w:val="32"/>
        </w:rPr>
        <w:t>本单位本年度年末编制人数4人，其中公务员2人，参照公务员管理人员0人，参照公务员管理工人2人。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ageBreakBefore w:val="0"/>
        <w:kinsoku/>
        <w:wordWrap/>
        <w:overflowPunct/>
        <w:topLinePunct w:val="0"/>
        <w:bidi w:val="0"/>
        <w:adjustRightInd w:val="0"/>
        <w:snapToGrid w:val="0"/>
        <w:spacing w:line="560" w:lineRule="exact"/>
        <w:ind w:firstLine="640" w:firstLineChars="200"/>
        <w:outlineLvl w:val="1"/>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137.63</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137.63</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%；政府性基金预算财政拨款收入</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;年初结转和结余0万元，占0%。</w:t>
      </w:r>
    </w:p>
    <w:p>
      <w:pPr>
        <w:pStyle w:val="2"/>
      </w:pP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2"/>
        <w:ind w:left="0" w:leftChars="0"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2021年一般公共预算财政拨款支出151.49万元，主要用于以下方面:一般公共服务（类）民主党派及工商联事务（款）  行政运行（项）支出118.45万元，占78.19%；社会保障和就业（类）行政事业单位养老支出（款）10.67万元，占7.04%； 机关事业单位基本养老保险缴费支出（项）机关事业单位职业年金缴费支出（项）支出5.33万元，占3.52%；医疗卫生支出（类）行政事业单位医疗（款）行政单位医疗（项）7.15万元，占4.72%；住房保障支出（类）住房改革支出（款）住房公积金（项）9.89万元，占6.53%。</w:t>
      </w:r>
    </w:p>
    <w:p>
      <w:pPr>
        <w:pStyle w:val="2"/>
        <w:numPr>
          <w:ilvl w:val="0"/>
          <w:numId w:val="0"/>
        </w:num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本单位严格按照</w:t>
      </w:r>
      <w:r>
        <w:rPr>
          <w:rFonts w:hint="eastAsia" w:ascii="仿宋_GB2312" w:hAnsi="仿宋_GB2312" w:eastAsia="仿宋_GB2312" w:cs="仿宋_GB2312"/>
          <w:color w:val="auto"/>
          <w:sz w:val="32"/>
          <w:szCs w:val="32"/>
          <w:lang w:val="en-US" w:eastAsia="zh-CN"/>
        </w:rPr>
        <w:t>县财政局“人员经费按标准，公用经费按定额”的预算原则，根据县财政局关于做好2021年财务工作预算的通知要求，客观真实编制了2021年部门预算，2021年财政资金总支出为支出151.49万元（其中基本支出151.49万元）。预算编制是我单位预算体制最基本的环节,是预算管理体制改革的核心。预算编制秉承实事求是的原则，对我单位财政支出做出合理规划，对财政管理体制的完善、活动范围的合理界定、监督和约束都具有重要作用。</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实行“收支两条线”管理，在报账处理上严格按照财经纪律制度等要求实施报账制,实行专款专用。预算内经费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360" w:lineRule="auto"/>
        <w:ind w:firstLine="645"/>
        <w:jc w:val="left"/>
        <w:rPr>
          <w:rFonts w:hint="eastAsia" w:ascii="仿宋" w:hAnsi="仿宋" w:eastAsia="仿宋"/>
          <w:color w:val="auto"/>
          <w:sz w:val="32"/>
          <w:szCs w:val="32"/>
        </w:rPr>
      </w:pPr>
      <w:r>
        <w:rPr>
          <w:rFonts w:hint="eastAsia" w:ascii="仿宋" w:hAnsi="仿宋" w:eastAsia="仿宋"/>
          <w:color w:val="auto"/>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hint="eastAsia" w:ascii="宋体" w:hAnsi="宋体" w:eastAsia="仿宋"/>
          <w:color w:val="auto"/>
          <w:sz w:val="32"/>
          <w:szCs w:val="32"/>
        </w:rPr>
        <w:t> </w:t>
      </w:r>
    </w:p>
    <w:p>
      <w:pPr>
        <w:spacing w:line="360" w:lineRule="auto"/>
        <w:ind w:firstLine="645"/>
        <w:jc w:val="left"/>
      </w:pPr>
      <w:r>
        <w:rPr>
          <w:rFonts w:hint="eastAsia" w:ascii="仿宋" w:hAnsi="仿宋" w:eastAsia="仿宋"/>
          <w:color w:val="auto"/>
          <w:sz w:val="32"/>
          <w:szCs w:val="32"/>
        </w:rPr>
        <w:t>结合评价得分评价结果为良好。</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spacing w:line="580" w:lineRule="exact"/>
        <w:ind w:firstLine="640" w:firstLineChars="200"/>
      </w:pPr>
      <w:r>
        <w:rPr>
          <w:rFonts w:hint="eastAsia" w:ascii="仿宋_GB2312" w:hAnsi="仿宋" w:eastAsia="仿宋_GB2312" w:cs="仿宋_GB2312"/>
          <w:color w:val="auto"/>
          <w:sz w:val="32"/>
          <w:szCs w:val="32"/>
          <w:lang w:val="en-US" w:eastAsia="zh-CN"/>
        </w:rPr>
        <w:t>财务公开与监督建设有待进一步提高。</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1、加强资金的管理，在公共运行维护资金的使用范围上严格把关，按照规定进行公示。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2、建立健全有效的内部控制制度并严格执行，充分发挥内控制度，在堵漏挖潜增收节支方面的积极作用。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3杜绝资金不按规定用途使用或造成资金浪费现象发生。 </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color w:val="000000"/>
          <w:sz w:val="32"/>
          <w:szCs w:val="32"/>
        </w:rPr>
        <w:t>我们将进一步重视预算的编制工作，提高预算编制的精确度，提高财政资金使用效率，尽量减少预算执行调整、结转和结余注销的情形。</w:t>
      </w:r>
    </w:p>
    <w:p>
      <w:pPr>
        <w:spacing w:line="580" w:lineRule="exact"/>
        <w:ind w:firstLine="640" w:firstLineChars="200"/>
        <w:rPr>
          <w:rFonts w:ascii="仿宋_GB2312" w:hAnsi="仿宋_GB2312" w:eastAsia="仿宋_GB2312" w:cs="仿宋_GB2312"/>
          <w:sz w:val="32"/>
          <w:szCs w:val="32"/>
        </w:rPr>
      </w:pPr>
      <w:bookmarkStart w:id="1" w:name="_GoBack"/>
      <w:bookmarkEnd w:id="1"/>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E8D9B"/>
    <w:multiLevelType w:val="singleLevel"/>
    <w:tmpl w:val="0FBE8D9B"/>
    <w:lvl w:ilvl="0" w:tentative="0">
      <w:start w:val="2"/>
      <w:numFmt w:val="chineseCounting"/>
      <w:suff w:val="nothing"/>
      <w:lvlText w:val="（%1）"/>
      <w:lvlJc w:val="left"/>
      <w:rPr>
        <w:rFonts w:hint="eastAsia"/>
      </w:rPr>
    </w:lvl>
  </w:abstractNum>
  <w:abstractNum w:abstractNumId="1">
    <w:nsid w:val="52F7ACDF"/>
    <w:multiLevelType w:val="singleLevel"/>
    <w:tmpl w:val="52F7ACD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wZTgxMDM1ZDI5NjdhZDViMjc3ZjgyOGMzMDMwZGIifQ=="/>
  </w:docVars>
  <w:rsids>
    <w:rsidRoot w:val="00491B22"/>
    <w:rsid w:val="00291808"/>
    <w:rsid w:val="00491B22"/>
    <w:rsid w:val="0052390C"/>
    <w:rsid w:val="19CC6772"/>
    <w:rsid w:val="34EB1F43"/>
    <w:rsid w:val="36435EC2"/>
    <w:rsid w:val="3DB326CB"/>
    <w:rsid w:val="5AED20DF"/>
    <w:rsid w:val="60D032A5"/>
    <w:rsid w:val="7E1A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99"/>
    <w:rPr>
      <w:b/>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1416</Words>
  <Characters>1536</Characters>
  <Lines>2</Lines>
  <Paragraphs>1</Paragraphs>
  <TotalTime>1</TotalTime>
  <ScaleCrop>false</ScaleCrop>
  <LinksUpToDate>false</LinksUpToDate>
  <CharactersWithSpaces>1538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2022-08-15T08:28:58Z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B1968B8C50594960A4EC5A5B75B5B83E</vt:lpwstr>
  </property>
</Properties>
</file>