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val="en-US" w:eastAsia="zh-CN"/>
        </w:rPr>
        <w:t>黑水县工商业联合会</w:t>
      </w:r>
      <w:r>
        <w:rPr>
          <w:rFonts w:hint="eastAsia" w:ascii="仿宋_GB2312" w:hAnsi="黑体" w:eastAsia="仿宋_GB2312" w:cs="方正小标宋简体"/>
          <w:b/>
          <w:sz w:val="32"/>
          <w:szCs w:val="32"/>
        </w:rPr>
        <w:t>部门20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2" w:firstLineChars="200"/>
        <w:rPr>
          <w:rFonts w:ascii="仿宋_GB2312" w:hAnsi="黑体" w:eastAsia="仿宋_GB2312" w:cs="黑体"/>
          <w:b/>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黑水县工商联为一级预算单位，本单位下属二级预算单位0个，其中行政单位0个，参照公务员法管理的事业单位0个，其他事业单位0个。 </w:t>
      </w: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sz w:val="32"/>
          <w:szCs w:val="32"/>
        </w:rPr>
        <w:t>根据《中国工商业联合会章程》规定，工商联是中国共产党领导的以民营企业和民营经济人士为主体的人民团体和商会组织，是党和政府联系民营经济人士的桥梁和纽带，是政府管理民营经济的助手。加强和改进民营经济人士思想政治工作；促进非公有制经济健康发展和非公有制经济人士健康成长；积极参政议政、发挥民主监督作用；加强对其他以民营企业和民营经济人士为主体的行业协会商会的联系、指导和服务，引导民营经济人士相关组织规范有序发展。</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三）</w:t>
      </w:r>
      <w:r>
        <w:rPr>
          <w:rFonts w:hint="eastAsia" w:ascii="仿宋_GB2312" w:hAnsi="仿宋" w:eastAsia="仿宋_GB2312" w:cs="仿宋_GB2312"/>
          <w:sz w:val="32"/>
          <w:szCs w:val="32"/>
        </w:rPr>
        <w:t>人员概况。</w:t>
      </w:r>
    </w:p>
    <w:p>
      <w:pPr>
        <w:ind w:firstLine="640" w:firstLineChars="200"/>
        <w:rPr>
          <w:rFonts w:hint="eastAsia" w:ascii="仿宋_GB2312" w:hAnsi="仿宋" w:eastAsia="仿宋_GB2312"/>
          <w:color w:val="FF0000"/>
          <w:sz w:val="32"/>
          <w:szCs w:val="32"/>
          <w:shd w:val="clear" w:color="auto" w:fill="auto"/>
          <w:lang w:eastAsia="zh-CN"/>
        </w:rPr>
      </w:pPr>
      <w:r>
        <w:rPr>
          <w:rFonts w:hint="eastAsia" w:ascii="仿宋_GB2312" w:hAnsi="仿宋" w:eastAsia="仿宋_GB2312"/>
          <w:color w:val="auto"/>
          <w:sz w:val="32"/>
          <w:szCs w:val="32"/>
          <w:shd w:val="clear" w:color="auto" w:fill="auto"/>
          <w:lang w:eastAsia="zh-CN"/>
        </w:rPr>
        <w:t>本单位无下属二级单位，本单位属于公益类事业单位。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lang w:eastAsia="zh-CN"/>
        </w:rPr>
      </w:pPr>
      <w:r>
        <w:rPr>
          <w:rFonts w:hint="eastAsia" w:ascii="仿宋_GB2312" w:hAnsi="仿宋_GB2312" w:eastAsia="仿宋_GB2312" w:cs="仿宋_GB2312"/>
          <w:sz w:val="32"/>
          <w:szCs w:val="32"/>
        </w:rPr>
        <w:t>本单位本年度年末实有人数为4人，比上年减少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人；年末实有离、退休人数为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调出人数为</w:t>
      </w:r>
      <w:r>
        <w:rPr>
          <w:rFonts w:hint="eastAsia" w:ascii="仿宋_GB2312" w:hAnsi="仿宋_GB2312" w:eastAsia="仿宋_GB2312" w:cs="仿宋_GB2312"/>
          <w:sz w:val="32"/>
          <w:szCs w:val="32"/>
          <w:lang w:val="en-US" w:eastAsia="zh-CN"/>
        </w:rPr>
        <w:t>0人；</w:t>
      </w:r>
      <w:r>
        <w:rPr>
          <w:rFonts w:hint="eastAsia" w:ascii="仿宋_GB2312" w:hAnsi="仿宋_GB2312" w:eastAsia="仿宋_GB2312" w:cs="仿宋_GB2312"/>
          <w:sz w:val="32"/>
          <w:szCs w:val="32"/>
        </w:rPr>
        <w:t>比上年增加0人。年末实有其他人数为0人，比上年增加0</w:t>
      </w:r>
      <w:r>
        <w:rPr>
          <w:rFonts w:hint="eastAsia" w:ascii="仿宋_GB2312" w:hAnsi="仿宋_GB2312" w:eastAsia="仿宋_GB2312" w:cs="仿宋_GB2312"/>
          <w:sz w:val="32"/>
          <w:szCs w:val="32"/>
          <w:lang w:eastAsia="zh-CN"/>
        </w:rPr>
        <w:t>人。</w:t>
      </w:r>
    </w:p>
    <w:p>
      <w:pPr>
        <w:numPr>
          <w:ilvl w:val="0"/>
          <w:numId w:val="0"/>
        </w:num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pPr>
        <w:keepNext w:val="0"/>
        <w:keepLines w:val="0"/>
        <w:pageBreakBefore w:val="0"/>
        <w:kinsoku/>
        <w:wordWrap/>
        <w:overflowPunct/>
        <w:topLinePunct w:val="0"/>
        <w:autoSpaceDE/>
        <w:autoSpaceDN/>
        <w:bidi w:val="0"/>
        <w:adjustRightInd/>
        <w:spacing w:line="560" w:lineRule="exact"/>
        <w:ind w:firstLine="640" w:firstLineChars="200"/>
        <w:jc w:val="left"/>
        <w:textAlignment w:val="auto"/>
        <w:outlineLvl w:val="1"/>
        <w:rPr>
          <w:rFonts w:hint="eastAsia" w:ascii="仿宋_GB2312" w:hAnsi="仿宋" w:eastAsia="仿宋_GB2312" w:cs="仿宋_GB2312"/>
          <w:sz w:val="32"/>
          <w:szCs w:val="32"/>
        </w:rPr>
      </w:pPr>
      <w:r>
        <w:rPr>
          <w:rFonts w:hint="eastAsia" w:ascii="仿宋_GB2312" w:hAnsi="仿宋" w:eastAsia="仿宋_GB2312"/>
          <w:color w:val="000000"/>
          <w:sz w:val="32"/>
          <w:szCs w:val="32"/>
        </w:rPr>
        <w:t>本年度全年</w:t>
      </w:r>
      <w:r>
        <w:rPr>
          <w:rFonts w:hint="eastAsia" w:ascii="仿宋_GB2312" w:hAnsi="仿宋" w:eastAsia="仿宋_GB2312"/>
          <w:color w:val="000000"/>
          <w:sz w:val="32"/>
          <w:szCs w:val="32"/>
          <w:lang w:eastAsia="zh-CN"/>
        </w:rPr>
        <w:t>部门财政资金收入</w:t>
      </w:r>
      <w:r>
        <w:rPr>
          <w:rFonts w:hint="eastAsia" w:ascii="仿宋_GB2312" w:hAnsi="仿宋" w:eastAsia="仿宋_GB2312"/>
          <w:color w:val="000000"/>
          <w:sz w:val="32"/>
          <w:szCs w:val="32"/>
        </w:rPr>
        <w:t>为</w:t>
      </w:r>
      <w:r>
        <w:rPr>
          <w:rFonts w:hint="eastAsia" w:ascii="仿宋_GB2312" w:hAnsi="仿宋" w:eastAsia="仿宋_GB2312"/>
          <w:color w:val="000000"/>
          <w:sz w:val="32"/>
          <w:szCs w:val="32"/>
          <w:lang w:val="en-US" w:eastAsia="zh-CN"/>
        </w:rPr>
        <w:t>119.31</w:t>
      </w:r>
      <w:r>
        <w:rPr>
          <w:rFonts w:hint="eastAsia" w:ascii="仿宋_GB2312" w:hAnsi="仿宋" w:eastAsia="仿宋_GB2312"/>
          <w:color w:val="000000"/>
          <w:sz w:val="32"/>
          <w:szCs w:val="32"/>
        </w:rPr>
        <w:t>万元，其中：一般公共预算财政拨款收入</w:t>
      </w:r>
      <w:r>
        <w:rPr>
          <w:rFonts w:hint="eastAsia" w:ascii="仿宋_GB2312" w:hAnsi="仿宋" w:eastAsia="仿宋_GB2312"/>
          <w:color w:val="000000"/>
          <w:sz w:val="32"/>
          <w:szCs w:val="32"/>
          <w:lang w:val="en-US" w:eastAsia="zh-CN"/>
        </w:rPr>
        <w:t>119.31</w:t>
      </w:r>
      <w:r>
        <w:rPr>
          <w:rFonts w:hint="eastAsia" w:ascii="仿宋_GB2312" w:hAnsi="仿宋" w:eastAsia="仿宋_GB2312"/>
          <w:color w:val="000000"/>
          <w:sz w:val="32"/>
          <w:szCs w:val="32"/>
        </w:rPr>
        <w:t>万元</w:t>
      </w:r>
      <w:r>
        <w:rPr>
          <w:rFonts w:hint="eastAsia" w:ascii="仿宋_GB2312" w:hAnsi="仿宋" w:eastAsia="仿宋_GB2312"/>
          <w:color w:val="000000"/>
          <w:sz w:val="32"/>
          <w:szCs w:val="32"/>
          <w:lang w:eastAsia="zh-CN"/>
        </w:rPr>
        <w:t>。</w:t>
      </w:r>
    </w:p>
    <w:p>
      <w:pPr>
        <w:numPr>
          <w:ilvl w:val="0"/>
          <w:numId w:val="2"/>
        </w:numPr>
        <w:spacing w:line="60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pPr>
        <w:numPr>
          <w:ilvl w:val="0"/>
          <w:numId w:val="0"/>
        </w:numPr>
        <w:spacing w:line="600" w:lineRule="exact"/>
        <w:ind w:leftChars="200" w:firstLine="320" w:firstLineChars="100"/>
        <w:rPr>
          <w:rFonts w:hint="eastAsia" w:ascii="仿宋_GB2312" w:hAnsi="仿宋" w:eastAsia="仿宋_GB2312" w:cs="Times New Roman"/>
          <w:color w:val="000000"/>
          <w:sz w:val="32"/>
          <w:szCs w:val="32"/>
          <w:lang w:eastAsia="zh-CN"/>
        </w:rPr>
      </w:pPr>
      <w:r>
        <w:rPr>
          <w:rFonts w:hint="eastAsia" w:ascii="仿宋_GB2312" w:hAnsi="仿宋" w:eastAsia="仿宋_GB2312"/>
          <w:color w:val="000000"/>
          <w:sz w:val="32"/>
          <w:szCs w:val="32"/>
        </w:rPr>
        <w:t>本年度全年</w:t>
      </w:r>
      <w:r>
        <w:rPr>
          <w:rFonts w:hint="eastAsia" w:ascii="仿宋_GB2312" w:hAnsi="仿宋" w:eastAsia="仿宋_GB2312"/>
          <w:color w:val="000000"/>
          <w:sz w:val="32"/>
          <w:szCs w:val="32"/>
          <w:lang w:eastAsia="zh-CN"/>
        </w:rPr>
        <w:t>部门财政资金支出</w:t>
      </w:r>
      <w:r>
        <w:rPr>
          <w:rFonts w:hint="eastAsia" w:ascii="仿宋_GB2312" w:hAnsi="仿宋" w:eastAsia="仿宋_GB2312"/>
          <w:color w:val="000000"/>
          <w:sz w:val="32"/>
          <w:szCs w:val="32"/>
        </w:rPr>
        <w:t>为</w:t>
      </w:r>
      <w:r>
        <w:rPr>
          <w:rFonts w:hint="eastAsia" w:ascii="仿宋_GB2312" w:hAnsi="仿宋" w:eastAsia="仿宋_GB2312"/>
          <w:color w:val="000000"/>
          <w:sz w:val="32"/>
          <w:szCs w:val="32"/>
          <w:lang w:val="en-US" w:eastAsia="zh-CN"/>
        </w:rPr>
        <w:t>119.31</w:t>
      </w:r>
      <w:r>
        <w:rPr>
          <w:rFonts w:hint="eastAsia" w:ascii="仿宋_GB2312" w:hAnsi="仿宋" w:eastAsia="仿宋_GB2312"/>
          <w:color w:val="000000"/>
          <w:sz w:val="32"/>
          <w:szCs w:val="32"/>
        </w:rPr>
        <w:t>万元，其中</w:t>
      </w:r>
      <w:r>
        <w:rPr>
          <w:rFonts w:hint="eastAsia" w:ascii="仿宋_GB2312" w:hAnsi="仿宋" w:eastAsia="仿宋_GB2312" w:cs="Times New Roman"/>
          <w:color w:val="000000"/>
          <w:sz w:val="32"/>
          <w:szCs w:val="32"/>
          <w:lang w:eastAsia="zh-CN"/>
        </w:rPr>
        <w:t>一</w:t>
      </w:r>
    </w:p>
    <w:p>
      <w:pPr>
        <w:numPr>
          <w:ilvl w:val="0"/>
          <w:numId w:val="0"/>
        </w:numPr>
        <w:spacing w:line="600" w:lineRule="exact"/>
      </w:pPr>
      <w:r>
        <w:rPr>
          <w:rFonts w:hint="eastAsia" w:ascii="仿宋_GB2312" w:hAnsi="仿宋" w:eastAsia="仿宋_GB2312" w:cs="Times New Roman"/>
          <w:color w:val="000000"/>
          <w:sz w:val="32"/>
          <w:szCs w:val="32"/>
          <w:lang w:eastAsia="zh-CN"/>
        </w:rPr>
        <w:t>般公共服务（类）支出</w:t>
      </w:r>
      <w:r>
        <w:rPr>
          <w:rFonts w:hint="eastAsia" w:ascii="仿宋_GB2312" w:hAnsi="仿宋" w:eastAsia="仿宋_GB2312" w:cs="Times New Roman"/>
          <w:color w:val="000000"/>
          <w:sz w:val="32"/>
          <w:szCs w:val="32"/>
          <w:lang w:val="en-US" w:eastAsia="zh-CN"/>
        </w:rPr>
        <w:t>89.89</w:t>
      </w:r>
      <w:r>
        <w:rPr>
          <w:rFonts w:hint="eastAsia"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75.34</w:t>
      </w:r>
      <w:r>
        <w:rPr>
          <w:rFonts w:hint="eastAsia" w:ascii="仿宋_GB2312" w:hAnsi="仿宋" w:eastAsia="仿宋_GB2312" w:cs="Times New Roman"/>
          <w:color w:val="000000"/>
          <w:sz w:val="32"/>
          <w:szCs w:val="32"/>
          <w:lang w:eastAsia="zh-CN"/>
        </w:rPr>
        <w:t>%；</w:t>
      </w:r>
      <w:r>
        <w:rPr>
          <w:rFonts w:hint="default" w:ascii="仿宋_GB2312" w:hAnsi="仿宋" w:eastAsia="仿宋_GB2312" w:cs="Times New Roman"/>
          <w:color w:val="000000"/>
          <w:sz w:val="32"/>
          <w:szCs w:val="32"/>
          <w:lang w:eastAsia="zh-CN"/>
        </w:rPr>
        <w:t>社会保障和就业（类）支出</w:t>
      </w:r>
      <w:r>
        <w:rPr>
          <w:rFonts w:hint="eastAsia" w:ascii="仿宋_GB2312" w:hAnsi="仿宋" w:eastAsia="仿宋_GB2312" w:cs="Times New Roman"/>
          <w:color w:val="000000"/>
          <w:sz w:val="32"/>
          <w:szCs w:val="32"/>
          <w:lang w:val="en-US" w:eastAsia="zh-CN"/>
        </w:rPr>
        <w:t>15.35</w:t>
      </w:r>
      <w:r>
        <w:rPr>
          <w:rFonts w:hint="default"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12.87</w:t>
      </w:r>
      <w:r>
        <w:rPr>
          <w:rFonts w:hint="default" w:ascii="仿宋_GB2312" w:hAnsi="仿宋" w:eastAsia="仿宋_GB2312" w:cs="Times New Roman"/>
          <w:color w:val="000000"/>
          <w:sz w:val="32"/>
          <w:szCs w:val="32"/>
          <w:lang w:eastAsia="zh-CN"/>
        </w:rPr>
        <w:t>%；医疗卫生支出</w:t>
      </w:r>
      <w:r>
        <w:rPr>
          <w:rFonts w:hint="eastAsia" w:ascii="仿宋_GB2312" w:hAnsi="仿宋" w:eastAsia="仿宋_GB2312" w:cs="Times New Roman"/>
          <w:color w:val="000000"/>
          <w:sz w:val="32"/>
          <w:szCs w:val="32"/>
          <w:lang w:val="en-US" w:eastAsia="zh-CN"/>
        </w:rPr>
        <w:t>5.92</w:t>
      </w:r>
      <w:r>
        <w:rPr>
          <w:rFonts w:hint="default"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4.96</w:t>
      </w:r>
      <w:r>
        <w:rPr>
          <w:rFonts w:hint="default" w:ascii="仿宋_GB2312" w:hAnsi="仿宋" w:eastAsia="仿宋_GB2312" w:cs="Times New Roman"/>
          <w:color w:val="000000"/>
          <w:sz w:val="32"/>
          <w:szCs w:val="32"/>
          <w:lang w:eastAsia="zh-CN"/>
        </w:rPr>
        <w:t>%；住房保障支出</w:t>
      </w:r>
      <w:r>
        <w:rPr>
          <w:rFonts w:hint="eastAsia" w:ascii="仿宋_GB2312" w:hAnsi="仿宋" w:eastAsia="仿宋_GB2312" w:cs="Times New Roman"/>
          <w:color w:val="000000"/>
          <w:sz w:val="32"/>
          <w:szCs w:val="32"/>
          <w:lang w:val="en-US" w:eastAsia="zh-CN"/>
        </w:rPr>
        <w:t>8.15</w:t>
      </w:r>
      <w:r>
        <w:rPr>
          <w:rFonts w:hint="default" w:ascii="仿宋_GB2312" w:hAnsi="仿宋" w:eastAsia="仿宋_GB2312" w:cs="Times New Roman"/>
          <w:color w:val="000000"/>
          <w:sz w:val="32"/>
          <w:szCs w:val="32"/>
          <w:lang w:eastAsia="zh-CN"/>
        </w:rPr>
        <w:t>万元，占</w:t>
      </w:r>
      <w:r>
        <w:rPr>
          <w:rFonts w:hint="eastAsia" w:ascii="仿宋_GB2312" w:hAnsi="仿宋" w:eastAsia="仿宋_GB2312" w:cs="Times New Roman"/>
          <w:color w:val="000000"/>
          <w:sz w:val="32"/>
          <w:szCs w:val="32"/>
          <w:lang w:val="en-US" w:eastAsia="zh-CN"/>
        </w:rPr>
        <w:t>6.83</w:t>
      </w:r>
      <w:r>
        <w:rPr>
          <w:rFonts w:hint="default" w:ascii="仿宋_GB2312" w:hAnsi="仿宋" w:eastAsia="仿宋_GB2312" w:cs="Times New Roman"/>
          <w:color w:val="000000"/>
          <w:sz w:val="32"/>
          <w:szCs w:val="32"/>
          <w:lang w:eastAsia="zh-CN"/>
        </w:rPr>
        <w:t>%。</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按照县级部门预算编制通知和有关要求，对202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年的各项收入及支出作了认真的清理，真实、准确、全面、及时</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 xml:space="preserve">完成年度预、决算工作；认真对绩效目标的填报，对专项预算进行分期、分批并结合实际提前细化，保障正常运行。 </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在县财政局相关股室的支持协调配合下，202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年县工商联专项预算资金按年拨款，专项资金按实际发生情况调拨支付。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 xml:space="preserve">1. 内部控制制度健全  </w:t>
      </w:r>
      <w:r>
        <w:rPr>
          <w:rFonts w:hint="eastAsia" w:ascii="仿宋_GB2312" w:hAnsi="仿宋_GB2312" w:eastAsia="仿宋_GB2312" w:cs="仿宋_GB2312"/>
          <w:sz w:val="32"/>
          <w:szCs w:val="32"/>
        </w:rPr>
        <w:t>为规范我单位的财务行为，加强财务管理，根据《中华人民共和国会计法》《中华人民共和国预算法》《行政事业单位会计制度》等财经法规以及根据财政部印发的《关于开展行政事业单位内部控制基础性评价工作的通知》（财会〔2016〕11号），并结合我会的实际工作情况，制定并健全了收入管理制度、支出管理制度、财务管理制度、会计出纳岗位责任制、政府采购管理制度、合同管理制度、会计、出纳岗位职责明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 xml:space="preserve">2、财务核算 </w:t>
      </w:r>
      <w:r>
        <w:rPr>
          <w:rFonts w:hint="eastAsia" w:ascii="仿宋_GB2312" w:hAnsi="仿宋_GB2312" w:eastAsia="仿宋_GB2312" w:cs="仿宋_GB2312"/>
          <w:sz w:val="32"/>
          <w:szCs w:val="32"/>
        </w:rPr>
        <w:t xml:space="preserve"> 严格依照《中华人民共和国会计法》、《财务规则》、《行政单位会计制度》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《行政事业单位财务管理办法》等规定，制定出本单位各项财务制度，进行财务管理、核算、控制和监督。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3、账务管理 </w:t>
      </w:r>
      <w:r>
        <w:rPr>
          <w:rFonts w:hint="eastAsia" w:ascii="仿宋_GB2312" w:hAnsi="仿宋_GB2312" w:eastAsia="仿宋_GB2312" w:cs="仿宋_GB2312"/>
          <w:sz w:val="32"/>
          <w:szCs w:val="32"/>
        </w:rPr>
        <w:t xml:space="preserve"> 按照国家关于会计档案管理的规定和要求，对会计凭证、会计账簿、会计报表及其他会计资料，定期装订成册，整理立档，并妥善保管。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 xml:space="preserve">4、政府采购 </w:t>
      </w:r>
      <w:r>
        <w:rPr>
          <w:rFonts w:hint="eastAsia" w:ascii="仿宋_GB2312" w:hAnsi="仿宋_GB2312" w:eastAsia="仿宋_GB2312" w:cs="仿宋_GB2312"/>
          <w:sz w:val="32"/>
          <w:szCs w:val="32"/>
        </w:rPr>
        <w:t>我会的政府采购工作均根据《中华人民共和国政府采购法》有关规定，依法签订政府采购合同，按法定程序办理政府采购，正确选择采购方式公开招标。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、信息公开</w:t>
      </w:r>
      <w:r>
        <w:rPr>
          <w:rFonts w:hint="eastAsia" w:ascii="仿宋_GB2312" w:hAnsi="仿宋_GB2312" w:eastAsia="仿宋_GB2312" w:cs="仿宋_GB2312"/>
          <w:sz w:val="32"/>
          <w:szCs w:val="32"/>
        </w:rPr>
        <w:t xml:space="preserve">  黑水县工商联决算、预算每年定期按规定在政府网站公开。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、绩效评价及接受监督</w:t>
      </w:r>
      <w:r>
        <w:rPr>
          <w:rFonts w:hint="eastAsia" w:ascii="仿宋_GB2312" w:hAnsi="仿宋_GB2312" w:eastAsia="仿宋_GB2312" w:cs="仿宋_GB2312"/>
          <w:sz w:val="32"/>
          <w:szCs w:val="32"/>
        </w:rPr>
        <w:t xml:space="preserve">  我会每年按规定对本单位项目</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及整体支出进行绩效评价；并依法接受财政部门监督监管。</w:t>
      </w:r>
    </w:p>
    <w:p>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通过加强绩效预算，财政资金得到有效使用，行政效率得到提高，促进了各项工作顺利开展。结合工作开展情况，</w:t>
      </w:r>
      <w:r>
        <w:rPr>
          <w:rFonts w:hint="eastAsia" w:ascii="仿宋_GB2312" w:hAnsi="仿宋_GB2312" w:eastAsia="仿宋_GB2312" w:cs="仿宋_GB2312"/>
          <w:sz w:val="32"/>
          <w:szCs w:val="32"/>
          <w:lang w:eastAsia="zh-CN"/>
        </w:rPr>
        <w:t>我会</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年度支出绩效综合评价自评得分</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分。</w:t>
      </w:r>
    </w:p>
    <w:p>
      <w:pPr>
        <w:numPr>
          <w:ilvl w:val="0"/>
          <w:numId w:val="3"/>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从绩效评价看，部门支出预算和绩效评价工作还存在部分项目无法用量化指标来进行考评的问题。</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（三）改进建议。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我们会</w:t>
      </w:r>
      <w:bookmarkStart w:id="1" w:name="_GoBack"/>
      <w:bookmarkEnd w:id="1"/>
      <w:r>
        <w:rPr>
          <w:rFonts w:hint="eastAsia" w:ascii="仿宋_GB2312" w:hAnsi="仿宋_GB2312" w:eastAsia="仿宋_GB2312" w:cs="仿宋_GB2312"/>
          <w:sz w:val="32"/>
          <w:szCs w:val="32"/>
        </w:rPr>
        <w:t>进一步重视预算的编制工作，提高预算编制的精确度，提高财政资金使用效率，尽量减少预算执行调整、结转和结余注销的情形。 </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3D4FFF"/>
    <w:multiLevelType w:val="singleLevel"/>
    <w:tmpl w:val="BC3D4FFF"/>
    <w:lvl w:ilvl="0" w:tentative="0">
      <w:start w:val="2"/>
      <w:numFmt w:val="chineseCounting"/>
      <w:suff w:val="nothing"/>
      <w:lvlText w:val="（%1）"/>
      <w:lvlJc w:val="left"/>
      <w:rPr>
        <w:rFonts w:hint="eastAsia"/>
      </w:rPr>
    </w:lvl>
  </w:abstractNum>
  <w:abstractNum w:abstractNumId="1">
    <w:nsid w:val="1B3EB4D5"/>
    <w:multiLevelType w:val="singleLevel"/>
    <w:tmpl w:val="1B3EB4D5"/>
    <w:lvl w:ilvl="0" w:tentative="0">
      <w:start w:val="2"/>
      <w:numFmt w:val="chineseCounting"/>
      <w:suff w:val="nothing"/>
      <w:lvlText w:val="（%1）"/>
      <w:lvlJc w:val="left"/>
      <w:rPr>
        <w:rFonts w:hint="eastAsia"/>
      </w:rPr>
    </w:lvl>
  </w:abstractNum>
  <w:abstractNum w:abstractNumId="2">
    <w:nsid w:val="6857593A"/>
    <w:multiLevelType w:val="singleLevel"/>
    <w:tmpl w:val="6857593A"/>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hOTZhZTkzZWExNzMwZDhmNjk0OWZjNjc3Nzg3MjEifQ=="/>
  </w:docVars>
  <w:rsids>
    <w:rsidRoot w:val="00491B22"/>
    <w:rsid w:val="00291808"/>
    <w:rsid w:val="00491B22"/>
    <w:rsid w:val="0052390C"/>
    <w:rsid w:val="029E5458"/>
    <w:rsid w:val="2C832F4B"/>
    <w:rsid w:val="34EB1F43"/>
    <w:rsid w:val="36435EC2"/>
    <w:rsid w:val="43EB7E23"/>
    <w:rsid w:val="4DD97D2F"/>
    <w:rsid w:val="59556EEB"/>
    <w:rsid w:val="60D032A5"/>
    <w:rsid w:val="7079109E"/>
    <w:rsid w:val="BEBFF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index 8"/>
    <w:basedOn w:val="1"/>
    <w:next w:val="1"/>
    <w:unhideWhenUsed/>
    <w:qFormat/>
    <w:uiPriority w:val="99"/>
    <w:pPr>
      <w:ind w:left="1400" w:leftChars="1400"/>
    </w:pPr>
  </w:style>
  <w:style w:type="paragraph" w:styleId="3">
    <w:name w:val="Body Text"/>
    <w:basedOn w:val="1"/>
    <w:next w:val="2"/>
    <w:qFormat/>
    <w:uiPriority w:val="0"/>
    <w:pPr>
      <w:widowControl/>
      <w:spacing w:before="100" w:beforeAutospacing="1" w:after="100" w:afterAutospacing="1"/>
      <w:jc w:val="left"/>
    </w:pPr>
    <w:rPr>
      <w:rFonts w:ascii="宋体" w:hAnsi="宋体" w:cs="宋体"/>
      <w:kern w:val="0"/>
      <w:sz w:val="24"/>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332</Words>
  <Characters>337</Characters>
  <Lines>2</Lines>
  <Paragraphs>1</Paragraphs>
  <TotalTime>2</TotalTime>
  <ScaleCrop>false</ScaleCrop>
  <LinksUpToDate>false</LinksUpToDate>
  <CharactersWithSpaces>337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2026-09-07T16:29:51Z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76E81661F4B44F1DA78D55E07DDCA465_13</vt:lpwstr>
  </property>
</Properties>
</file>