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bookmarkStart w:id="0" w:name="_Toc15396616"/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黑水县民政局</w:t>
      </w:r>
      <w:r>
        <w:rPr>
          <w:rFonts w:hint="eastAsia" w:ascii="宋体" w:hAnsi="宋体" w:eastAsia="宋体" w:cs="宋体"/>
          <w:b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44"/>
          <w:szCs w:val="44"/>
        </w:rPr>
        <w:t>年部门</w:t>
      </w:r>
    </w:p>
    <w:p>
      <w:pPr>
        <w:spacing w:line="60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整体支出绩效评价报告</w:t>
      </w:r>
      <w:bookmarkEnd w:id="0"/>
    </w:p>
    <w:p>
      <w:pPr>
        <w:spacing w:line="58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  <w:bookmarkStart w:id="1" w:name="_GoBack"/>
      <w:bookmarkEnd w:id="1"/>
    </w:p>
    <w:p>
      <w:pPr>
        <w:pStyle w:val="4"/>
        <w:widowControl/>
        <w:spacing w:line="48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黑水县民政局属于一级预算单位。其中：行政单位1个，其他事业单位1个。内设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个机构，分别是办公室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（财务股）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、基层政权和区划地名股、社会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福利和社会事务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股（行政审批股）。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（二）机构职能。</w:t>
      </w:r>
    </w:p>
    <w:p>
      <w:pPr>
        <w:pStyle w:val="4"/>
        <w:widowControl/>
        <w:spacing w:line="48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hd w:val="clear" w:color="auto" w:fill="FFFFFF"/>
        </w:rPr>
        <w:t>黑水县民政局是拟定全县民政事业发展规划；全县社会团体、民办非企业单位登记管理</w:t>
      </w:r>
      <w:r>
        <w:rPr>
          <w:rFonts w:hint="eastAsia" w:ascii="仿宋" w:hAnsi="仿宋" w:eastAsia="仿宋" w:cs="仿宋"/>
          <w:color w:val="333333"/>
          <w:sz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color w:val="333333"/>
          <w:sz w:val="32"/>
          <w:shd w:val="clear" w:color="auto" w:fill="FFFFFF"/>
        </w:rPr>
        <w:t>全县社会救助，婚姻、殡葬和儿童收养管理等的县政府组成部门。 </w:t>
      </w:r>
    </w:p>
    <w:p>
      <w:pPr>
        <w:numPr>
          <w:ilvl w:val="0"/>
          <w:numId w:val="1"/>
        </w:numPr>
        <w:spacing w:line="580" w:lineRule="exact"/>
        <w:ind w:left="200" w:leftChars="0" w:firstLine="640" w:firstLineChars="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en-US" w:eastAsia="zh-CN" w:bidi="ar"/>
        </w:rPr>
        <w:t>本单位总编制人数26个，其中：行政编制6人，年末实有6人，行政工勤2人，年末实有4人，事业编制18人，年末实有17人。</w:t>
      </w:r>
    </w:p>
    <w:p>
      <w:pPr>
        <w:numPr>
          <w:ilvl w:val="0"/>
          <w:numId w:val="2"/>
        </w:numPr>
        <w:spacing w:line="580" w:lineRule="exact"/>
        <w:ind w:left="-10" w:leftChars="0" w:firstLine="640" w:firstLineChars="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部门财政资金收支情况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en-US" w:eastAsia="zh-CN" w:bidi="ar"/>
        </w:rPr>
        <w:t xml:space="preserve"> 2020年度部门财政资金总收入4441.67万元；其中财政拨款收入占本年收入100%，本年支出总额4516.52万元。按支出性质：基本支出653.96万元，占本年支出14.47%；项目支出3862.57万元，占本年支出85.52%。按支出经济分类：工资福利支出466.2万元，占总支出的10.32%;商品和服务支出160.47万元, 占总支出的3.55%;对个人和家庭的补助支出3304.22万元, 占总支出的73.15%;资本性支出585.63万元, 占总支出的12.96%。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部门财政资金收入情况。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en-US" w:eastAsia="zh-CN" w:bidi="ar"/>
        </w:rPr>
        <w:t xml:space="preserve">    2020年度部门财政资金总收入4441.67万元；其中：一般公共预算财政拨款收入4352.31万元，占本年收入97.98%，政府性基金预算参政拨款收入89.36万元，占本年收入2.01%。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（二）部门财政资金支出情况。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zh-CN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zh-CN" w:eastAsia="zh-CN" w:bidi="ar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zh-CN" w:eastAsia="zh-CN" w:bidi="ar"/>
        </w:rPr>
        <w:t xml:space="preserve">）预算编制情况。  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en-US" w:eastAsia="zh-CN" w:bidi="ar"/>
        </w:rPr>
        <w:t>本单位2020年部门预算收入、支出年初预算安排如下：2020年年初预算收入1000.97万元，较上年1545.11万元，减少544.14万元；部门支出预算总额1000.97万元，较上年1545.11万元，减少544.14万元。减少35.21%。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zh-CN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zh-CN" w:eastAsia="zh-CN" w:bidi="ar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zh-CN" w:eastAsia="zh-CN" w:bidi="ar"/>
        </w:rPr>
        <w:t>）执行管理情况。</w:t>
      </w:r>
      <w:r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zh-CN" w:eastAsia="zh-CN" w:bidi="ar"/>
        </w:rPr>
        <w:tab/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en-US" w:eastAsia="zh-CN" w:bidi="ar"/>
        </w:rPr>
        <w:t>本年收入支出预算执行基本情况如下：本单位本年收入4441.67万元，较上年度收入2311.24万元，增加2130.43万元，增加92.17%；本单位本年支出4516.52万元，比上年度支出2559.18万元，增加1957.34元，增加76.48%。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zh-CN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zh-CN" w:eastAsia="zh-CN" w:bidi="ar"/>
        </w:rPr>
        <w:t>（三）综合管理情况。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en-US" w:eastAsia="zh-CN" w:bidi="ar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numPr>
          <w:ilvl w:val="0"/>
          <w:numId w:val="2"/>
        </w:numPr>
        <w:spacing w:line="580" w:lineRule="exact"/>
        <w:ind w:left="-10" w:leftChars="0" w:firstLine="640" w:firstLineChars="0"/>
        <w:rPr>
          <w:rFonts w:hint="eastAsia" w:ascii="仿宋_GB2312" w:hAnsi="黑体" w:eastAsia="仿宋_GB2312" w:cs="黑体"/>
          <w:sz w:val="32"/>
          <w:szCs w:val="32"/>
          <w:highlight w:val="none"/>
        </w:rPr>
      </w:pP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部门整体预算绩效管理情况</w:t>
      </w:r>
    </w:p>
    <w:p>
      <w:pPr>
        <w:ind w:firstLine="640" w:firstLineChars="200"/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  <w:t>本单位2020年部门年初预算安排如下：2020年年初预算收入1000.97万元，较上年1545.11万元，减少544.14万元，按时完</w:t>
      </w:r>
      <w:r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  <w:t>成预算编制并提交单位预算草案。预算编制中，特别注意对预算编制准确性的把握，并严格按照要求进行预算执行调整。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  <w:t>（二）专项预算管理。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  <w:t>本单位专项预算主要用于孤儿生活补助、80岁以上高龄生活补助以及重度残疾人护理补贴等，预算项目程序严密、规划合理，分配科学，分配及时，结果符合工作要求。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  <w:t>（三）结果应用情况。</w:t>
      </w:r>
    </w:p>
    <w:p>
      <w:pPr>
        <w:pStyle w:val="4"/>
        <w:shd w:val="clear" w:color="auto" w:fill="FFFFFF"/>
        <w:spacing w:line="560" w:lineRule="exact"/>
        <w:ind w:firstLine="960" w:firstLineChars="300"/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  <w:t>本单位在执行公务过程中严格执行“厉行节约、反对浪费”的规定，严格控制“三公”经费支出，加强公务用车管理，部门预算在财政部门批复后及时填报预算公开资料，经财政审核后在政府信息公开网上公示。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  <w:t>四、评价结论及建议</w:t>
      </w:r>
    </w:p>
    <w:p>
      <w:pPr>
        <w:spacing w:line="560" w:lineRule="exact"/>
        <w:ind w:firstLine="585"/>
        <w:rPr>
          <w:rFonts w:hint="eastAsia" w:ascii="仿宋" w:hAnsi="仿宋" w:eastAsia="仿宋" w:cs="Times New Roman"/>
          <w:kern w:val="0"/>
          <w:sz w:val="32"/>
          <w:szCs w:val="24"/>
          <w:lang w:val="zh-CN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24"/>
          <w:lang w:val="zh-CN" w:eastAsia="zh-CN" w:bidi="ar"/>
        </w:rPr>
        <w:t>（一）评价结论。</w:t>
      </w:r>
    </w:p>
    <w:p>
      <w:pPr>
        <w:pStyle w:val="4"/>
        <w:widowControl/>
        <w:spacing w:line="480" w:lineRule="auto"/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32"/>
        </w:rPr>
        <w:t>本年度财政拨款为本单位工作的开展提供了有力的保障</w:t>
      </w:r>
      <w:r>
        <w:rPr>
          <w:rFonts w:hint="eastAsia" w:ascii="仿宋" w:hAnsi="仿宋" w:eastAsia="仿宋"/>
        </w:rPr>
        <w:t>，</w:t>
      </w:r>
      <w:r>
        <w:rPr>
          <w:rFonts w:hint="eastAsia" w:ascii="仿宋" w:hAnsi="仿宋" w:eastAsia="仿宋"/>
          <w:sz w:val="32"/>
        </w:rPr>
        <w:t>保障了</w:t>
      </w:r>
      <w:r>
        <w:rPr>
          <w:rFonts w:hint="eastAsia" w:ascii="仿宋" w:hAnsi="仿宋" w:eastAsia="仿宋" w:cs="仿宋"/>
          <w:color w:val="333333"/>
          <w:sz w:val="32"/>
          <w:shd w:val="clear" w:color="auto" w:fill="FFFFFF"/>
        </w:rPr>
        <w:t>拟定全县民政事业发展规划；落实各类优抚对象优待抚恤政策，安置退役士兵和军队离退休干部；组织协调救灾救济工作，核定和上报全县灾情，组织转移、安置、慰问灾民，管理、分配救灾款、物并监督检查使用情况等工作；实施养老体系建设；管理城乡低保、医疗救助和农村五保工作，指导农村五保户供养和敬老院建设工作；指导村（居）委会贯彻实施村（居）委会组织法，加强民主选举、民主决策、民主管理、民主监督工作；贯彻殡葬管理、儿童收养工作的地方法规、规章和政策，并组织实施；拟定我县老龄工作发展规划，并组织实施；贯彻落实行政区划、边界争议和地名管理的政策法规，调查规划并上报区划调整，组织、协调和指导行政区域界线的勘定</w:t>
      </w:r>
      <w:r>
        <w:rPr>
          <w:rFonts w:hint="eastAsia" w:ascii="仿宋" w:hAnsi="仿宋" w:eastAsia="仿宋" w:cs="宋体"/>
          <w:color w:val="333333"/>
          <w:sz w:val="32"/>
        </w:rPr>
        <w:t>等各项工作</w:t>
      </w:r>
      <w:r>
        <w:rPr>
          <w:rFonts w:hint="eastAsia" w:ascii="仿宋" w:hAnsi="仿宋" w:eastAsia="仿宋"/>
          <w:sz w:val="32"/>
        </w:rPr>
        <w:t>顺利完成</w:t>
      </w:r>
      <w:r>
        <w:rPr>
          <w:rFonts w:hint="eastAsia" w:ascii="仿宋" w:hAnsi="仿宋" w:eastAsia="仿宋"/>
        </w:rPr>
        <w:t>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zh-CN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en-US" w:eastAsia="zh-CN" w:bidi="ar"/>
        </w:rPr>
        <w:t xml:space="preserve">（二） </w:t>
      </w:r>
      <w:r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zh-CN" w:eastAsia="zh-CN" w:bidi="ar"/>
        </w:rPr>
        <w:t>存在问题</w:t>
      </w:r>
    </w:p>
    <w:p>
      <w:pPr>
        <w:spacing w:line="560" w:lineRule="exact"/>
        <w:ind w:firstLine="800" w:firstLineChars="250"/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en-US" w:eastAsia="zh-CN" w:bidi="ar"/>
        </w:rPr>
        <w:t>无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zh-CN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zh-CN" w:eastAsia="zh-CN" w:bidi="ar"/>
        </w:rPr>
        <w:t>（三）改进建议</w:t>
      </w:r>
    </w:p>
    <w:p>
      <w:pPr>
        <w:spacing w:line="560" w:lineRule="exact"/>
        <w:ind w:firstLine="800" w:firstLineChars="250"/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en-US" w:eastAsia="zh-CN" w:bidi="ar"/>
        </w:rPr>
        <w:t>无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EB6A2"/>
    <w:multiLevelType w:val="singleLevel"/>
    <w:tmpl w:val="B04EB6A2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00585D88"/>
    <w:multiLevelType w:val="singleLevel"/>
    <w:tmpl w:val="00585D88"/>
    <w:lvl w:ilvl="0" w:tentative="0">
      <w:start w:val="3"/>
      <w:numFmt w:val="chineseCounting"/>
      <w:suff w:val="nothing"/>
      <w:lvlText w:val="（%1）"/>
      <w:lvlJc w:val="left"/>
      <w:pPr>
        <w:ind w:left="200"/>
      </w:pPr>
      <w:rPr>
        <w:rFonts w:hint="eastAsia"/>
      </w:rPr>
    </w:lvl>
  </w:abstractNum>
  <w:abstractNum w:abstractNumId="2">
    <w:nsid w:val="0BA95B40"/>
    <w:multiLevelType w:val="singleLevel"/>
    <w:tmpl w:val="0BA95B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00E57709"/>
    <w:rsid w:val="0532432F"/>
    <w:rsid w:val="0806019F"/>
    <w:rsid w:val="091418E3"/>
    <w:rsid w:val="09DF3AB1"/>
    <w:rsid w:val="11FF2D76"/>
    <w:rsid w:val="131C19CC"/>
    <w:rsid w:val="133E2E6B"/>
    <w:rsid w:val="14132D41"/>
    <w:rsid w:val="16713A6B"/>
    <w:rsid w:val="18202CDD"/>
    <w:rsid w:val="1A3B0F1C"/>
    <w:rsid w:val="1EE63619"/>
    <w:rsid w:val="23F458F6"/>
    <w:rsid w:val="24A87A05"/>
    <w:rsid w:val="30E96957"/>
    <w:rsid w:val="318248CF"/>
    <w:rsid w:val="31CC14B8"/>
    <w:rsid w:val="32322B62"/>
    <w:rsid w:val="36435EC2"/>
    <w:rsid w:val="38ED2561"/>
    <w:rsid w:val="39C2651B"/>
    <w:rsid w:val="39D74889"/>
    <w:rsid w:val="3A8A6EAD"/>
    <w:rsid w:val="3FC4263D"/>
    <w:rsid w:val="41A561A7"/>
    <w:rsid w:val="41AC3D7C"/>
    <w:rsid w:val="427B01DE"/>
    <w:rsid w:val="42A63D77"/>
    <w:rsid w:val="44AC515D"/>
    <w:rsid w:val="4C8209AB"/>
    <w:rsid w:val="4EE06B04"/>
    <w:rsid w:val="4FC77E7A"/>
    <w:rsid w:val="506837CF"/>
    <w:rsid w:val="51560335"/>
    <w:rsid w:val="525A66F1"/>
    <w:rsid w:val="53C66142"/>
    <w:rsid w:val="54B70CEC"/>
    <w:rsid w:val="54C81464"/>
    <w:rsid w:val="565C0640"/>
    <w:rsid w:val="5C0B2DF0"/>
    <w:rsid w:val="5D280B1E"/>
    <w:rsid w:val="5E067972"/>
    <w:rsid w:val="60D032A5"/>
    <w:rsid w:val="61535471"/>
    <w:rsid w:val="62045DEC"/>
    <w:rsid w:val="62E200F5"/>
    <w:rsid w:val="6CB669D3"/>
    <w:rsid w:val="74084EEF"/>
    <w:rsid w:val="757907F6"/>
    <w:rsid w:val="769A54FD"/>
    <w:rsid w:val="79144B93"/>
    <w:rsid w:val="7A7F4D83"/>
    <w:rsid w:val="7A9C3AC9"/>
    <w:rsid w:val="7E010A18"/>
    <w:rsid w:val="7E337548"/>
    <w:rsid w:val="7E6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lenovo</cp:lastModifiedBy>
  <dcterms:modified xsi:type="dcterms:W3CDTF">2021-08-11T07:37:11Z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1FD7C858F4B148749630EF529D4A6DFE</vt:lpwstr>
  </property>
</Properties>
</file>