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  <w:bookmarkStart w:id="0" w:name="_Toc15396616"/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黑水县民政局</w:t>
      </w:r>
    </w:p>
    <w:p>
      <w:pPr>
        <w:spacing w:line="600" w:lineRule="exact"/>
        <w:jc w:val="center"/>
        <w:outlineLvl w:val="0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年部门整体支出绩效评价报告</w:t>
      </w:r>
      <w:bookmarkEnd w:id="0"/>
    </w:p>
    <w:p>
      <w:pPr>
        <w:spacing w:line="58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一、部门（单位）概况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（一）机构组成</w:t>
      </w:r>
    </w:p>
    <w:p>
      <w:pPr>
        <w:pStyle w:val="4"/>
        <w:widowControl/>
        <w:spacing w:line="48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黑水县民政局属于一级预算单位。其中：行政单位1个，其他事业单位1个。内设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个机构，分别是办公室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（财务股）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、基层政权和区划地名股、社会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福利和社会事务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股（行政审批股）。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（二）机构职能</w:t>
      </w:r>
    </w:p>
    <w:p>
      <w:pPr>
        <w:pStyle w:val="4"/>
        <w:widowControl/>
        <w:spacing w:line="48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hd w:val="clear" w:color="auto" w:fill="FFFFFF"/>
        </w:rPr>
        <w:t>黑水县民政局是拟定全县民政事业发展规划；全县社会团体、民办非企业单位登记管理</w:t>
      </w:r>
      <w:r>
        <w:rPr>
          <w:rFonts w:hint="eastAsia" w:ascii="仿宋" w:hAnsi="仿宋" w:eastAsia="仿宋" w:cs="仿宋"/>
          <w:color w:val="333333"/>
          <w:sz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sz w:val="32"/>
          <w:shd w:val="clear" w:color="auto" w:fill="FFFFFF"/>
        </w:rPr>
        <w:t>全县社会救助，婚姻、殡葬和儿童收养管理等的县政府组成部门。 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人员概况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4"/>
          <w:shd w:val="clear" w:color="auto" w:fill="FFFFFF"/>
          <w:lang w:val="en-US" w:eastAsia="zh-CN" w:bidi="ar"/>
        </w:rPr>
        <w:t>本单位总编制人数24个，其中：行政编制6人，年末实有4人，行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kern w:val="0"/>
          <w:sz w:val="32"/>
          <w:szCs w:val="24"/>
          <w:shd w:val="clear" w:color="auto" w:fill="FFFFFF"/>
          <w:lang w:val="en-US" w:eastAsia="zh-CN" w:bidi="ar"/>
        </w:rPr>
        <w:t>政工勤编制2人，年末实有4人；事业编制16人，年末实有13人。</w:t>
      </w:r>
    </w:p>
    <w:p>
      <w:pPr>
        <w:numPr>
          <w:ilvl w:val="0"/>
          <w:numId w:val="1"/>
        </w:numPr>
        <w:spacing w:line="58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部门财政资金收支情况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  <w:t xml:space="preserve"> 2021年度部门财政资金总收入1962.92万元；其中财政拨款收入占本年收入100%，本年支出总额2708.69万元。按支出性质：基本支出843.33万元，占本年支出31.13%；项目支出1865.37万元，占本年支出68.87%。按支出经济分类：工资福利支出484.67万元，占总支出的17.89%;商品和服务支出289.08万元, 占总支出的10.67%;对个人和家庭的补助支出1063.06万元, 占总支出的39.25%;资本性支出871.89万元, 占总支出的32.19%。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）部门财政资金收入情况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  <w:t xml:space="preserve">    2021年度部门财政资金总收入1962.92万元；其中：一般公共预算财政拨款收入1953.13万元，占本年收入99.50%，政府性基金预算参政拨款收入9.79万元，占本年收入0.5%。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（二）部门财政资金支出情况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" w:hAnsi="楷体" w:eastAsia="楷体" w:cs="楷体"/>
          <w:color w:val="333333"/>
          <w:kern w:val="0"/>
          <w:sz w:val="32"/>
          <w:szCs w:val="24"/>
          <w:shd w:val="clear" w:color="auto" w:fill="FFFFFF"/>
          <w:lang w:val="zh-CN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24"/>
          <w:shd w:val="clear" w:color="auto" w:fill="FFFFFF"/>
          <w:lang w:val="zh-CN" w:eastAsia="zh-CN" w:bidi="ar"/>
        </w:rPr>
        <w:t>（</w:t>
      </w:r>
      <w:r>
        <w:rPr>
          <w:rFonts w:hint="eastAsia" w:ascii="楷体" w:hAnsi="楷体" w:eastAsia="楷体" w:cs="楷体"/>
          <w:color w:val="333333"/>
          <w:kern w:val="0"/>
          <w:sz w:val="32"/>
          <w:szCs w:val="24"/>
          <w:shd w:val="clear" w:color="auto" w:fill="FFFFFF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333333"/>
          <w:kern w:val="0"/>
          <w:sz w:val="32"/>
          <w:szCs w:val="24"/>
          <w:shd w:val="clear" w:color="auto" w:fill="FFFFFF"/>
          <w:lang w:val="zh-CN" w:eastAsia="zh-CN" w:bidi="ar"/>
        </w:rPr>
        <w:t xml:space="preserve">）预算编制情况  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color w:val="0000FF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  <w:t>本单位2021年部门预算收入、支出年初预算安排如下：2021年年初预算收入1251.7917万元，较上年1000.97万元，增加250.8217万元；部门支出预算总额1251.7917万元，较上年1000.97万元，增加250.8217万元。增加79.96%。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" w:hAnsi="楷体" w:eastAsia="楷体" w:cs="楷体"/>
          <w:color w:val="333333"/>
          <w:kern w:val="0"/>
          <w:sz w:val="32"/>
          <w:szCs w:val="24"/>
          <w:highlight w:val="none"/>
          <w:shd w:val="clear" w:color="auto" w:fill="FFFFFF"/>
          <w:lang w:val="zh-CN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24"/>
          <w:highlight w:val="none"/>
          <w:shd w:val="clear" w:color="auto" w:fill="FFFFFF"/>
          <w:lang w:val="zh-CN" w:eastAsia="zh-CN" w:bidi="ar"/>
        </w:rPr>
        <w:t>（</w:t>
      </w:r>
      <w:r>
        <w:rPr>
          <w:rFonts w:hint="eastAsia" w:ascii="楷体" w:hAnsi="楷体" w:eastAsia="楷体" w:cs="楷体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333333"/>
          <w:kern w:val="0"/>
          <w:sz w:val="32"/>
          <w:szCs w:val="24"/>
          <w:highlight w:val="none"/>
          <w:shd w:val="clear" w:color="auto" w:fill="FFFFFF"/>
          <w:lang w:val="zh-CN" w:eastAsia="zh-CN" w:bidi="ar"/>
        </w:rPr>
        <w:t>）执行管理情况</w:t>
      </w:r>
      <w:r>
        <w:rPr>
          <w:rFonts w:hint="eastAsia" w:ascii="楷体" w:hAnsi="楷体" w:eastAsia="楷体" w:cs="楷体"/>
          <w:color w:val="333333"/>
          <w:kern w:val="0"/>
          <w:sz w:val="32"/>
          <w:szCs w:val="24"/>
          <w:highlight w:val="none"/>
          <w:shd w:val="clear" w:color="auto" w:fill="FFFFFF"/>
          <w:lang w:val="zh-CN" w:eastAsia="zh-CN" w:bidi="ar"/>
        </w:rPr>
        <w:tab/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  <w:t>本年收入支出预算执行基本情况如下：本单位本年收入1962.92万元，较上年度收入4441.67万元，减少2478.75万元，减少44.19%；本单位本年支出2708.69万元，比上年度支出4516.52万元，减少1807.83元，减少59.97%。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zh-CN" w:eastAsia="zh-CN"/>
        </w:rPr>
        <w:t>（三）综合管理情况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numPr>
          <w:ilvl w:val="0"/>
          <w:numId w:val="1"/>
        </w:numPr>
        <w:spacing w:line="58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部门整体预算绩效管理情况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（一）本单位2021年部门年初预算安排如下：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color w:val="auto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color w:val="auto"/>
          <w:kern w:val="0"/>
          <w:sz w:val="32"/>
          <w:szCs w:val="24"/>
          <w:lang w:val="en-US" w:eastAsia="zh-CN" w:bidi="ar"/>
        </w:rPr>
        <w:t>2021年年初预算收入1251.7917万元，较上年1000.97万元，增加250.8217万元，按时完成预算编制并提交单位预算草案。预算编制中，特别注意对预算编制准确性的把握，并严格按照要求进行预算执行调整。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（二）专项预算管理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  <w:t>本单位专项预算主要用于孤儿生活补助、80岁以上高龄生活补助以及重度残疾人护理补贴等，预算项目程序严密、规划合理，分配科学，分配及时，结果符合工作要求。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（三）结果应用情况</w:t>
      </w:r>
    </w:p>
    <w:p>
      <w:pPr>
        <w:pStyle w:val="4"/>
        <w:shd w:val="clear" w:color="auto" w:fill="FFFFFF"/>
        <w:spacing w:line="560" w:lineRule="exact"/>
        <w:ind w:firstLine="960" w:firstLineChars="300"/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  <w:t>本单位在执行公务过程中严格执行“厉行节约、反对浪费”的规定，严格控制“三公”经费支出，加强公务用车管理，部门预算在财政部门批复后及时填报预算公开资料，经财政审核后在政府信息公开网上公示。</w:t>
      </w:r>
    </w:p>
    <w:p>
      <w:pPr>
        <w:numPr>
          <w:ilvl w:val="0"/>
          <w:numId w:val="0"/>
        </w:numPr>
        <w:spacing w:line="580" w:lineRule="exact"/>
        <w:ind w:left="630" w:left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四、评价结论及建议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zh-CN" w:eastAsia="zh-CN"/>
        </w:rPr>
        <w:t>（一）评价结论</w:t>
      </w:r>
    </w:p>
    <w:p>
      <w:pPr>
        <w:pStyle w:val="4"/>
        <w:widowControl/>
        <w:spacing w:line="480" w:lineRule="auto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32"/>
        </w:rPr>
        <w:t>本年度财政拨款为本单位工作的开展提供了有力的保障</w:t>
      </w:r>
      <w:r>
        <w:rPr>
          <w:rFonts w:hint="eastAsia" w:ascii="仿宋" w:hAnsi="仿宋" w:eastAsia="仿宋"/>
        </w:rPr>
        <w:t>，</w:t>
      </w:r>
      <w:r>
        <w:rPr>
          <w:rFonts w:hint="eastAsia" w:ascii="仿宋" w:hAnsi="仿宋" w:eastAsia="仿宋"/>
          <w:sz w:val="32"/>
        </w:rPr>
        <w:t>保障了</w:t>
      </w:r>
      <w:r>
        <w:rPr>
          <w:rFonts w:hint="eastAsia" w:ascii="仿宋" w:hAnsi="仿宋" w:eastAsia="仿宋" w:cs="仿宋"/>
          <w:color w:val="333333"/>
          <w:sz w:val="32"/>
          <w:shd w:val="clear" w:color="auto" w:fill="FFFFFF"/>
        </w:rPr>
        <w:t>拟定全县民政事业发展规划；落实各类优抚对象优待抚恤政策，安置退役士兵和军队离退休干部；组织协调救灾救济工作，核定和上报全县灾情，组织转移、安置、慰问灾民，管理、分配救灾款、物并监督检查使用情况等工作；实施养老体系建设；管理城乡低保、医疗救助和农村五保工作，指导农村五保户供养和敬老院建设工作；指导村（居）委会贯彻实施村（居）委会组织法，加强民主选举、民主决策、民主管理、民主监督工作；贯彻殡葬管理、儿童收养工作的地方法规、规章和政策，并组织实施；拟定我县老龄工作发展规划，并组织实施；贯彻落实行政区划、边界争议和地名管理的政策法规，调查规划并上报区划调整，组织、协调和指导行政区域界线的勘定</w:t>
      </w:r>
      <w:r>
        <w:rPr>
          <w:rFonts w:hint="eastAsia" w:ascii="仿宋" w:hAnsi="仿宋" w:eastAsia="仿宋" w:cs="宋体"/>
          <w:color w:val="333333"/>
          <w:sz w:val="32"/>
        </w:rPr>
        <w:t>等各项工作</w:t>
      </w:r>
      <w:r>
        <w:rPr>
          <w:rFonts w:hint="eastAsia" w:ascii="仿宋" w:hAnsi="仿宋" w:eastAsia="仿宋"/>
          <w:sz w:val="32"/>
        </w:rPr>
        <w:t>顺利完成</w:t>
      </w:r>
      <w:r>
        <w:rPr>
          <w:rFonts w:hint="eastAsia" w:ascii="仿宋" w:hAnsi="仿宋" w:eastAsia="仿宋"/>
        </w:rPr>
        <w:t>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 xml:space="preserve">（二） 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zh-CN" w:eastAsia="zh-CN"/>
        </w:rPr>
        <w:t>存在问题</w:t>
      </w:r>
    </w:p>
    <w:p>
      <w:pPr>
        <w:spacing w:line="560" w:lineRule="exact"/>
        <w:ind w:firstLine="800" w:firstLineChars="250"/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en-US" w:eastAsia="zh-CN" w:bidi="ar"/>
        </w:rPr>
        <w:t>无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zh-CN" w:eastAsia="zh-CN"/>
        </w:rPr>
        <w:t>（三）改进建议</w:t>
      </w:r>
    </w:p>
    <w:p>
      <w:pPr>
        <w:spacing w:line="560" w:lineRule="exact"/>
        <w:ind w:firstLine="800" w:firstLineChars="250"/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en-US" w:eastAsia="zh-CN" w:bidi="ar"/>
        </w:rPr>
        <w:t>无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EB6A2"/>
    <w:multiLevelType w:val="singleLevel"/>
    <w:tmpl w:val="B04EB6A2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91B22"/>
    <w:rsid w:val="00291808"/>
    <w:rsid w:val="00491B22"/>
    <w:rsid w:val="004C6C98"/>
    <w:rsid w:val="0052390C"/>
    <w:rsid w:val="00E57709"/>
    <w:rsid w:val="04CF553E"/>
    <w:rsid w:val="0532432F"/>
    <w:rsid w:val="069D450E"/>
    <w:rsid w:val="0806019F"/>
    <w:rsid w:val="091418E3"/>
    <w:rsid w:val="09DF3AB1"/>
    <w:rsid w:val="0BA87567"/>
    <w:rsid w:val="11FF2D76"/>
    <w:rsid w:val="131C19CC"/>
    <w:rsid w:val="133E2E6B"/>
    <w:rsid w:val="13FF26A7"/>
    <w:rsid w:val="14132D41"/>
    <w:rsid w:val="16713A6B"/>
    <w:rsid w:val="18202CDD"/>
    <w:rsid w:val="1A3B0F1C"/>
    <w:rsid w:val="1D8044EF"/>
    <w:rsid w:val="1EE63619"/>
    <w:rsid w:val="22DE7F5C"/>
    <w:rsid w:val="23475962"/>
    <w:rsid w:val="23C0000D"/>
    <w:rsid w:val="23F458F6"/>
    <w:rsid w:val="24A87A05"/>
    <w:rsid w:val="287A5DB9"/>
    <w:rsid w:val="2BC26DFE"/>
    <w:rsid w:val="30E96957"/>
    <w:rsid w:val="315E709A"/>
    <w:rsid w:val="318248CF"/>
    <w:rsid w:val="31CC14B8"/>
    <w:rsid w:val="32322B62"/>
    <w:rsid w:val="36435EC2"/>
    <w:rsid w:val="38ED2561"/>
    <w:rsid w:val="39C2651B"/>
    <w:rsid w:val="39D74889"/>
    <w:rsid w:val="3A8A6EAD"/>
    <w:rsid w:val="3C3E422A"/>
    <w:rsid w:val="3FC4263D"/>
    <w:rsid w:val="415B010F"/>
    <w:rsid w:val="41A561A7"/>
    <w:rsid w:val="41AC3D7C"/>
    <w:rsid w:val="427B01DE"/>
    <w:rsid w:val="42A63D77"/>
    <w:rsid w:val="44AC515D"/>
    <w:rsid w:val="4C8209AB"/>
    <w:rsid w:val="4DE77E30"/>
    <w:rsid w:val="4EE06B04"/>
    <w:rsid w:val="4FC77E7A"/>
    <w:rsid w:val="506837CF"/>
    <w:rsid w:val="512F258C"/>
    <w:rsid w:val="51560335"/>
    <w:rsid w:val="525A66F1"/>
    <w:rsid w:val="53C66142"/>
    <w:rsid w:val="54131E75"/>
    <w:rsid w:val="54B70CEC"/>
    <w:rsid w:val="54C81464"/>
    <w:rsid w:val="565C0640"/>
    <w:rsid w:val="571B5979"/>
    <w:rsid w:val="58C4462C"/>
    <w:rsid w:val="5ACC25F8"/>
    <w:rsid w:val="5AF521E2"/>
    <w:rsid w:val="5C0B2DF0"/>
    <w:rsid w:val="5C8D7C49"/>
    <w:rsid w:val="5D280B1E"/>
    <w:rsid w:val="5E067972"/>
    <w:rsid w:val="60D032A5"/>
    <w:rsid w:val="61535471"/>
    <w:rsid w:val="61B03707"/>
    <w:rsid w:val="62045DEC"/>
    <w:rsid w:val="62E200F5"/>
    <w:rsid w:val="63231C50"/>
    <w:rsid w:val="64987F2A"/>
    <w:rsid w:val="6686712D"/>
    <w:rsid w:val="69882BAA"/>
    <w:rsid w:val="6CB669D3"/>
    <w:rsid w:val="74084EEF"/>
    <w:rsid w:val="757907F6"/>
    <w:rsid w:val="75817FDA"/>
    <w:rsid w:val="769A54FD"/>
    <w:rsid w:val="79144B93"/>
    <w:rsid w:val="7A7F4D83"/>
    <w:rsid w:val="7A9C3AC9"/>
    <w:rsid w:val="7D812772"/>
    <w:rsid w:val="7E010A18"/>
    <w:rsid w:val="7E337548"/>
    <w:rsid w:val="7E6E1E6B"/>
    <w:rsid w:val="7EC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1574</Words>
  <Characters>1808</Characters>
  <Lines>2</Lines>
  <Paragraphs>1</Paragraphs>
  <TotalTime>1</TotalTime>
  <ScaleCrop>false</ScaleCrop>
  <LinksUpToDate>false</LinksUpToDate>
  <CharactersWithSpaces>1831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</cp:lastModifiedBy>
  <dcterms:modified xsi:type="dcterms:W3CDTF">2022-08-18T09:34:00Z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1FD7C858F4B148749630EF529D4A6DFE</vt:lpwstr>
  </property>
</Properties>
</file>