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黑水县交通局</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20</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napToGrid w:val="0"/>
        <w:ind w:firstLine="640" w:firstLineChars="200"/>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sz w:val="32"/>
          <w:szCs w:val="32"/>
          <w:lang w:val="en-US" w:eastAsia="zh-CN"/>
        </w:rPr>
        <w:t>交通局</w:t>
      </w:r>
      <w:r>
        <w:rPr>
          <w:rFonts w:hint="eastAsia" w:ascii="仿宋_GB2312" w:hAnsi="仿宋_GB2312" w:eastAsia="仿宋_GB2312" w:cs="仿宋_GB2312"/>
          <w:sz w:val="32"/>
          <w:szCs w:val="32"/>
        </w:rPr>
        <w:t xml:space="preserve">下属二级预算单位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个，其中行政单位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个，参照公务员法管理的事业单位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p>
    <w:p>
      <w:pPr>
        <w:pStyle w:val="4"/>
        <w:adjustRightInd w:val="0"/>
        <w:snapToGrid w:val="0"/>
        <w:spacing w:before="93"/>
        <w:ind w:firstLine="672" w:firstLineChars="21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纳入</w:t>
      </w:r>
      <w:r>
        <w:rPr>
          <w:rFonts w:hint="eastAsia" w:hAnsi="仿宋_GB2312" w:cs="仿宋_GB2312"/>
          <w:color w:val="000000"/>
          <w:sz w:val="32"/>
          <w:szCs w:val="32"/>
          <w:lang w:eastAsia="zh-CN"/>
        </w:rPr>
        <w:t>交通局</w:t>
      </w:r>
      <w:r>
        <w:rPr>
          <w:rFonts w:hint="eastAsia" w:ascii="仿宋_GB2312" w:hAnsi="仿宋_GB2312" w:eastAsia="仿宋_GB2312" w:cs="仿宋_GB2312"/>
          <w:color w:val="000000"/>
          <w:sz w:val="32"/>
          <w:szCs w:val="32"/>
        </w:rPr>
        <w:t>20</w:t>
      </w:r>
      <w:r>
        <w:rPr>
          <w:rFonts w:hint="eastAsia" w:hAnsi="仿宋_GB2312" w:cs="仿宋_GB2312"/>
          <w:color w:val="000000"/>
          <w:sz w:val="32"/>
          <w:szCs w:val="32"/>
          <w:lang w:val="en-US" w:eastAsia="zh-CN"/>
        </w:rPr>
        <w:t>20</w:t>
      </w:r>
      <w:r>
        <w:rPr>
          <w:rFonts w:hint="eastAsia" w:ascii="仿宋_GB2312" w:hAnsi="仿宋_GB2312" w:eastAsia="仿宋_GB2312" w:cs="仿宋_GB2312"/>
          <w:color w:val="000000"/>
          <w:sz w:val="32"/>
          <w:szCs w:val="32"/>
        </w:rPr>
        <w:t>年度部门决算编制范围的二级预算单位包括：</w:t>
      </w:r>
    </w:p>
    <w:p>
      <w:pPr>
        <w:pStyle w:val="4"/>
        <w:numPr>
          <w:ilvl w:val="0"/>
          <w:numId w:val="1"/>
        </w:numPr>
        <w:adjustRightInd w:val="0"/>
        <w:snapToGrid w:val="0"/>
        <w:spacing w:before="93"/>
        <w:ind w:left="672"/>
        <w:outlineLvl w:val="2"/>
        <w:rPr>
          <w:rFonts w:hint="eastAsia" w:hAnsi="仿宋_GB2312" w:cs="仿宋_GB2312"/>
          <w:color w:val="000000"/>
          <w:sz w:val="32"/>
          <w:szCs w:val="32"/>
          <w:lang w:val="en-US" w:eastAsia="zh-CN"/>
        </w:rPr>
      </w:pPr>
      <w:bookmarkStart w:id="1" w:name="_Toc15377203"/>
      <w:bookmarkStart w:id="2" w:name="_Toc15306277"/>
      <w:bookmarkStart w:id="3" w:name="_Toc15378450"/>
      <w:bookmarkStart w:id="4" w:name="_Toc15377434"/>
      <w:r>
        <w:rPr>
          <w:rFonts w:hint="eastAsia" w:hAnsi="仿宋_GB2312" w:cs="仿宋_GB2312"/>
          <w:color w:val="000000"/>
          <w:sz w:val="32"/>
          <w:szCs w:val="32"/>
          <w:lang w:val="en-US" w:eastAsia="zh-CN"/>
        </w:rPr>
        <w:t>黑水县交通运输局</w:t>
      </w:r>
    </w:p>
    <w:p>
      <w:pPr>
        <w:pStyle w:val="4"/>
        <w:numPr>
          <w:ilvl w:val="0"/>
          <w:numId w:val="1"/>
        </w:numPr>
        <w:adjustRightInd w:val="0"/>
        <w:snapToGrid w:val="0"/>
        <w:spacing w:before="93"/>
        <w:ind w:left="672"/>
        <w:outlineLvl w:val="2"/>
        <w:rPr>
          <w:rFonts w:hint="default" w:hAnsi="仿宋_GB2312" w:cs="仿宋_GB2312"/>
          <w:color w:val="000000"/>
          <w:sz w:val="32"/>
          <w:szCs w:val="32"/>
          <w:lang w:val="en-US" w:eastAsia="zh-CN"/>
        </w:rPr>
      </w:pPr>
      <w:r>
        <w:rPr>
          <w:rFonts w:hint="eastAsia" w:hAnsi="仿宋_GB2312" w:cs="仿宋_GB2312"/>
          <w:color w:val="000000"/>
          <w:sz w:val="32"/>
          <w:szCs w:val="32"/>
          <w:lang w:val="en-US" w:eastAsia="zh-CN"/>
        </w:rPr>
        <w:t>黑水县农村公路管理服务中心</w:t>
      </w:r>
    </w:p>
    <w:bookmarkEnd w:id="1"/>
    <w:bookmarkEnd w:id="2"/>
    <w:bookmarkEnd w:id="3"/>
    <w:bookmarkEnd w:id="4"/>
    <w:p>
      <w:pPr>
        <w:numPr>
          <w:ilvl w:val="0"/>
          <w:numId w:val="2"/>
        </w:numPr>
        <w:spacing w:line="560" w:lineRule="exact"/>
        <w:ind w:left="-220" w:leftChars="0" w:firstLine="640" w:firstLineChars="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eastAsia="仿宋_GB2312"/>
          <w:color w:val="333333"/>
          <w:sz w:val="30"/>
          <w:szCs w:val="30"/>
        </w:rPr>
      </w:pPr>
      <w:r>
        <w:rPr>
          <w:rFonts w:hint="eastAsia" w:ascii="仿宋_GB2312" w:eastAsia="仿宋_GB2312"/>
          <w:color w:val="333333"/>
          <w:sz w:val="30"/>
          <w:szCs w:val="30"/>
        </w:rPr>
        <w:t>交通运输局是黑水县</w:t>
      </w:r>
      <w:r>
        <w:rPr>
          <w:rFonts w:hint="eastAsia" w:ascii="仿宋_GB2312" w:eastAsia="仿宋_GB2312"/>
          <w:sz w:val="30"/>
          <w:szCs w:val="30"/>
        </w:rPr>
        <w:t>负责全县道路旅客运输（含旅游客运、出租客运）、货物运输、装卸搬运和民间运输（含小型机动、非机运车船和人力板车的运输）、车船维修检测、运输服务等行业管理；培育和管理全县道路运输市场；组织协调关系国计民生的重点物资运输和紧急物资运输；公路交通基础设施建设、养护和管理；负责全县交通基础设施建设市场的管理；指导乡镇公路建设、养护和管理；组织指导重点交通工程建设的实施。负责全县汽车驾驶学校和驾驶员培训工作的行业管理；负责道路运输从业人员资格管理；负责全县公路路政、运政、水上交通安全监督及检审的行业管理的政府组成部门。根据州委、州政府关于</w:t>
      </w:r>
      <w:r>
        <w:rPr>
          <w:rFonts w:hint="eastAsia" w:ascii="仿宋_GB2312" w:eastAsia="仿宋_GB2312"/>
          <w:sz w:val="30"/>
          <w:szCs w:val="30"/>
          <w:lang w:val="en-US" w:eastAsia="zh-CN"/>
        </w:rPr>
        <w:t>2020</w:t>
      </w:r>
      <w:r>
        <w:rPr>
          <w:rFonts w:hint="eastAsia" w:ascii="仿宋_GB2312" w:eastAsia="仿宋_GB2312"/>
          <w:sz w:val="30"/>
          <w:szCs w:val="30"/>
        </w:rPr>
        <w:t>年全州工作的总体部署，</w:t>
      </w:r>
      <w:r>
        <w:rPr>
          <w:rFonts w:hint="eastAsia" w:ascii="仿宋_GB2312" w:eastAsia="仿宋_GB2312"/>
          <w:sz w:val="30"/>
          <w:szCs w:val="30"/>
          <w:lang w:val="en-US" w:eastAsia="zh-CN"/>
        </w:rPr>
        <w:t>2020</w:t>
      </w:r>
      <w:r>
        <w:rPr>
          <w:rFonts w:hint="eastAsia" w:ascii="仿宋_GB2312" w:eastAsia="仿宋_GB2312"/>
          <w:sz w:val="30"/>
          <w:szCs w:val="30"/>
        </w:rPr>
        <w:t>年主要工作是:</w:t>
      </w:r>
      <w:r>
        <w:rPr>
          <w:rFonts w:hint="eastAsia" w:ascii="仿宋_GB2312" w:hAnsi="仿宋_GB2312" w:eastAsia="仿宋_GB2312" w:cs="仿宋_GB2312"/>
          <w:sz w:val="30"/>
          <w:szCs w:val="30"/>
        </w:rPr>
        <w:t xml:space="preserve"> 为保质、保量按期完成任务，我局进一步充实了工程建设管理机构，按片区进行质量、进度、安全等方面的管理，进一步落实了责任。同时还制定了工程建设管理的各种规章制度，用制度管人管事，对工程项目进行倒排工期，严格控制质量和进度，落实安全生产责任，全力推进交通基础设施项目建设进程。</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napToGrid w:val="0"/>
        <w:spacing w:line="520" w:lineRule="exact"/>
        <w:ind w:firstLine="640"/>
        <w:rPr>
          <w:rFonts w:hint="eastAsia" w:ascii="仿宋_GB2312" w:hAnsi="仿宋" w:eastAsia="仿宋_GB2312"/>
          <w:sz w:val="32"/>
        </w:rPr>
      </w:pPr>
      <w:r>
        <w:rPr>
          <w:rFonts w:hint="eastAsia" w:ascii="仿宋_GB2312" w:hAnsi="仿宋" w:eastAsia="仿宋_GB2312"/>
          <w:sz w:val="32"/>
        </w:rPr>
        <w:t>人员情况：</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年1</w:t>
      </w:r>
      <w:r>
        <w:rPr>
          <w:rFonts w:hint="eastAsia" w:ascii="仿宋_GB2312" w:hAnsi="仿宋" w:eastAsia="仿宋_GB2312"/>
          <w:sz w:val="32"/>
          <w:szCs w:val="32"/>
          <w:lang w:val="en-US" w:eastAsia="zh-CN"/>
        </w:rPr>
        <w:t>2</w:t>
      </w:r>
      <w:r>
        <w:rPr>
          <w:rFonts w:hint="eastAsia" w:ascii="仿宋_GB2312" w:hAnsi="仿宋" w:eastAsia="仿宋_GB2312"/>
          <w:sz w:val="32"/>
          <w:szCs w:val="32"/>
        </w:rPr>
        <w:t>月在册人数：在职</w:t>
      </w:r>
      <w:r>
        <w:rPr>
          <w:rFonts w:hint="eastAsia" w:ascii="仿宋_GB2312" w:hAnsi="仿宋" w:eastAsia="仿宋_GB2312"/>
          <w:sz w:val="32"/>
          <w:szCs w:val="32"/>
          <w:lang w:val="en-US" w:eastAsia="zh-CN"/>
        </w:rPr>
        <w:t>27</w:t>
      </w:r>
      <w:r>
        <w:rPr>
          <w:rFonts w:hint="eastAsia" w:ascii="仿宋_GB2312" w:hAnsi="仿宋" w:eastAsia="仿宋_GB2312"/>
          <w:sz w:val="32"/>
          <w:szCs w:val="32"/>
        </w:rPr>
        <w:t>人</w:t>
      </w:r>
      <w:r>
        <w:rPr>
          <w:rFonts w:hint="eastAsia" w:ascii="仿宋_GB2312" w:hAnsi="仿宋" w:eastAsia="仿宋_GB2312"/>
          <w:sz w:val="32"/>
          <w:szCs w:val="32"/>
          <w:lang w:eastAsia="zh-CN"/>
        </w:rPr>
        <w:t>、（单位合并）新增</w:t>
      </w:r>
      <w:r>
        <w:rPr>
          <w:rFonts w:hint="eastAsia" w:ascii="仿宋_GB2312" w:hAnsi="仿宋" w:eastAsia="仿宋_GB2312"/>
          <w:sz w:val="32"/>
          <w:szCs w:val="32"/>
          <w:lang w:val="en-US" w:eastAsia="zh-CN"/>
        </w:rPr>
        <w:t>8人、州内调出1人、调入1人</w:t>
      </w:r>
      <w:r>
        <w:rPr>
          <w:rFonts w:hint="eastAsia" w:ascii="仿宋_GB2312" w:hAnsi="仿宋" w:eastAsia="仿宋_GB2312"/>
          <w:sz w:val="32"/>
          <w:szCs w:val="32"/>
        </w:rPr>
        <w:t>，离退休</w:t>
      </w:r>
      <w:r>
        <w:rPr>
          <w:rFonts w:hint="eastAsia" w:ascii="仿宋_GB2312" w:hAnsi="仿宋" w:eastAsia="仿宋_GB2312"/>
          <w:sz w:val="32"/>
          <w:szCs w:val="32"/>
          <w:lang w:val="en-US" w:eastAsia="zh-CN"/>
        </w:rPr>
        <w:t>19</w:t>
      </w:r>
      <w:r>
        <w:rPr>
          <w:rFonts w:hint="eastAsia" w:ascii="仿宋_GB2312" w:hAnsi="仿宋" w:eastAsia="仿宋_GB2312"/>
          <w:sz w:val="32"/>
          <w:szCs w:val="32"/>
        </w:rPr>
        <w:t>人</w:t>
      </w:r>
      <w:r>
        <w:rPr>
          <w:rFonts w:hint="eastAsia" w:ascii="仿宋_GB2312" w:hAnsi="仿宋" w:eastAsia="仿宋_GB2312"/>
          <w:sz w:val="32"/>
          <w:szCs w:val="32"/>
          <w:lang w:eastAsia="zh-CN"/>
        </w:rPr>
        <w:t>（新增离休人员</w:t>
      </w:r>
      <w:r>
        <w:rPr>
          <w:rFonts w:hint="eastAsia" w:ascii="仿宋_GB2312" w:hAnsi="仿宋" w:eastAsia="仿宋_GB2312"/>
          <w:sz w:val="32"/>
          <w:szCs w:val="32"/>
          <w:lang w:val="en-US" w:eastAsia="zh-CN"/>
        </w:rPr>
        <w:t>1名、退休人员5名</w:t>
      </w:r>
      <w:r>
        <w:rPr>
          <w:rFonts w:hint="eastAsia" w:ascii="仿宋_GB2312" w:hAnsi="仿宋" w:eastAsia="仿宋_GB2312"/>
          <w:sz w:val="32"/>
          <w:szCs w:val="32"/>
          <w:lang w:eastAsia="zh-CN"/>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600" w:lineRule="exact"/>
        <w:ind w:firstLine="640" w:firstLineChars="200"/>
        <w:outlineLvl w:val="1"/>
        <w:rPr>
          <w:rFonts w:ascii="仿宋_GB2312" w:hAnsi="仿宋" w:eastAsia="仿宋_GB2312"/>
          <w:color w:val="000000"/>
          <w:sz w:val="32"/>
          <w:szCs w:val="32"/>
        </w:rPr>
      </w:pPr>
      <w:r>
        <w:rPr>
          <w:rFonts w:hint="eastAsia" w:ascii="仿宋_GB2312" w:hAnsi="仿宋" w:eastAsia="仿宋_GB2312"/>
          <w:color w:val="000000"/>
          <w:sz w:val="32"/>
          <w:szCs w:val="32"/>
        </w:rPr>
        <w:t>2020年本年收入合计</w:t>
      </w:r>
      <w:r>
        <w:rPr>
          <w:rFonts w:hint="eastAsia" w:ascii="仿宋_GB2312" w:hAnsi="仿宋" w:eastAsia="仿宋_GB2312"/>
          <w:color w:val="000000"/>
          <w:sz w:val="32"/>
          <w:szCs w:val="32"/>
          <w:highlight w:val="none"/>
          <w:lang w:val="en-US" w:eastAsia="zh-CN"/>
        </w:rPr>
        <w:t>28597.19</w:t>
      </w:r>
      <w:r>
        <w:rPr>
          <w:rFonts w:hint="eastAsia" w:ascii="仿宋_GB2312" w:hAnsi="仿宋" w:eastAsia="仿宋_GB2312"/>
          <w:color w:val="000000"/>
          <w:sz w:val="32"/>
          <w:szCs w:val="32"/>
        </w:rPr>
        <w:t>万元，其中：一般公共预算财政拨款收入26597.19万元，占</w:t>
      </w:r>
      <w:r>
        <w:rPr>
          <w:rFonts w:hint="eastAsia" w:ascii="仿宋_GB2312" w:hAnsi="仿宋" w:eastAsia="仿宋_GB2312"/>
          <w:color w:val="000000"/>
          <w:sz w:val="32"/>
          <w:szCs w:val="32"/>
          <w:lang w:val="en-US" w:eastAsia="zh-CN"/>
        </w:rPr>
        <w:t>93.01</w:t>
      </w:r>
      <w:r>
        <w:rPr>
          <w:rFonts w:hint="eastAsia" w:ascii="仿宋_GB2312" w:hAnsi="仿宋" w:eastAsia="仿宋_GB2312"/>
          <w:color w:val="000000"/>
          <w:sz w:val="32"/>
          <w:szCs w:val="32"/>
        </w:rPr>
        <w:t>%，政府性基金预算财政拨款收入2000万元，占</w:t>
      </w:r>
      <w:r>
        <w:rPr>
          <w:rFonts w:hint="eastAsia" w:ascii="仿宋_GB2312" w:hAnsi="仿宋" w:eastAsia="仿宋_GB2312"/>
          <w:color w:val="000000"/>
          <w:sz w:val="32"/>
          <w:szCs w:val="32"/>
          <w:lang w:val="en-US" w:eastAsia="zh-CN"/>
        </w:rPr>
        <w:t>6.99</w:t>
      </w:r>
      <w:r>
        <w:rPr>
          <w:rFonts w:hint="eastAsia" w:ascii="仿宋_GB2312" w:hAnsi="仿宋" w:eastAsia="仿宋_GB2312"/>
          <w:color w:val="000000"/>
          <w:sz w:val="32"/>
          <w:szCs w:val="32"/>
        </w:rPr>
        <w:t>%。</w:t>
      </w:r>
    </w:p>
    <w:p>
      <w:pPr>
        <w:spacing w:line="600" w:lineRule="exact"/>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部门财政资金支出情况。</w:t>
      </w:r>
    </w:p>
    <w:p>
      <w:pPr>
        <w:spacing w:line="600" w:lineRule="exact"/>
        <w:ind w:firstLine="640"/>
        <w:rPr>
          <w:rFonts w:ascii="仿宋_GB2312" w:hAnsi="仿宋" w:eastAsia="仿宋_GB2312"/>
          <w:color w:val="000000" w:themeColor="text1"/>
          <w:sz w:val="32"/>
          <w:szCs w:val="32"/>
        </w:rPr>
      </w:pPr>
      <w:r>
        <w:rPr>
          <w:rFonts w:hint="eastAsia" w:ascii="仿宋_GB2312" w:hAnsi="仿宋" w:eastAsia="仿宋_GB2312"/>
          <w:color w:val="000000"/>
          <w:sz w:val="32"/>
          <w:szCs w:val="32"/>
        </w:rPr>
        <w:t>2020年一般公共预算财</w:t>
      </w:r>
      <w:r>
        <w:rPr>
          <w:rFonts w:hint="eastAsia" w:ascii="仿宋_GB2312" w:hAnsi="仿宋" w:eastAsia="仿宋_GB2312"/>
          <w:color w:val="000000" w:themeColor="text1"/>
          <w:sz w:val="32"/>
          <w:szCs w:val="32"/>
        </w:rPr>
        <w:t>政拨款支出</w:t>
      </w:r>
      <w:r>
        <w:rPr>
          <w:rFonts w:hint="eastAsia" w:ascii="仿宋_GB2312" w:hAnsi="仿宋" w:eastAsia="仿宋_GB2312"/>
          <w:color w:val="000000"/>
          <w:sz w:val="32"/>
          <w:szCs w:val="32"/>
        </w:rPr>
        <w:t>27496.71</w:t>
      </w:r>
      <w:r>
        <w:rPr>
          <w:rFonts w:hint="eastAsia" w:ascii="仿宋_GB2312" w:hAnsi="仿宋" w:eastAsia="仿宋_GB2312"/>
          <w:color w:val="000000" w:themeColor="text1"/>
          <w:sz w:val="32"/>
          <w:szCs w:val="32"/>
        </w:rPr>
        <w:t>万元，主要用于以下方面：文化旅游体育与传媒支出577.56万元，占2.1%，</w:t>
      </w:r>
      <w:r>
        <w:rPr>
          <w:rFonts w:hint="eastAsia" w:ascii="仿宋_GB2312" w:hAnsi="仿宋" w:eastAsia="仿宋_GB2312"/>
          <w:b w:val="0"/>
          <w:bCs/>
          <w:color w:val="000000" w:themeColor="text1"/>
          <w:sz w:val="32"/>
          <w:szCs w:val="32"/>
          <w:highlight w:val="none"/>
        </w:rPr>
        <w:t>社会保障和就业支出</w:t>
      </w:r>
      <w:r>
        <w:rPr>
          <w:rFonts w:hint="eastAsia" w:ascii="仿宋_GB2312" w:hAnsi="仿宋" w:eastAsia="仿宋_GB2312"/>
          <w:color w:val="000000" w:themeColor="text1"/>
          <w:sz w:val="32"/>
          <w:szCs w:val="32"/>
        </w:rPr>
        <w:t>59.79万元，占0.22%；卫生健康支出22.45万元，占0.08%；农林水支出5712.05万元，占20.77%。交通运输支出19034.51万元，占69.22%，住房保障支出40.11万元，占0.15%,其他支出2050.25万元，占7.46%。</w:t>
      </w:r>
    </w:p>
    <w:p>
      <w:pPr>
        <w:spacing w:line="600" w:lineRule="exact"/>
        <w:ind w:firstLine="640"/>
        <w:rPr>
          <w:rFonts w:hint="default" w:ascii="仿宋_GB2312" w:hAnsi="仿宋" w:eastAsia="仿宋_GB2312"/>
          <w:color w:val="000000" w:themeColor="text1"/>
          <w:sz w:val="32"/>
          <w:szCs w:val="32"/>
          <w:lang w:val="en-US" w:eastAsia="zh-CN"/>
        </w:rPr>
      </w:pPr>
    </w:p>
    <w:p>
      <w:pPr>
        <w:spacing w:line="60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zh-CN" w:eastAsia="zh-CN"/>
        </w:rPr>
        <w:t>本单位严格按照</w:t>
      </w:r>
      <w:r>
        <w:rPr>
          <w:rFonts w:hint="eastAsia" w:ascii="仿宋_GB2312" w:hAnsi="仿宋" w:eastAsia="仿宋_GB2312" w:cs="仿宋_GB2312"/>
          <w:sz w:val="32"/>
          <w:szCs w:val="32"/>
          <w:lang w:val="en-US" w:eastAsia="zh-CN"/>
        </w:rPr>
        <w:t>县财政局“人员经费按标准，公用经费按定额”的预算原则，根据县财政局关于做好2020年财务工作预算的通知要求，客观真实编制了2020年部门预算，2020年财政资金总支出为支出</w:t>
      </w:r>
      <w:r>
        <w:rPr>
          <w:rFonts w:hint="eastAsia" w:ascii="仿宋_GB2312" w:hAnsi="仿宋" w:eastAsia="仿宋_GB2312"/>
          <w:color w:val="000000"/>
          <w:sz w:val="32"/>
          <w:szCs w:val="32"/>
          <w:lang w:val="en-US" w:eastAsia="zh-CN"/>
        </w:rPr>
        <w:t>27496.71</w:t>
      </w:r>
      <w:bookmarkStart w:id="5" w:name="_GoBack"/>
      <w:bookmarkEnd w:id="5"/>
      <w:r>
        <w:rPr>
          <w:rFonts w:hint="eastAsia" w:ascii="仿宋_GB2312" w:hAnsi="仿宋" w:eastAsia="仿宋_GB2312" w:cs="仿宋_GB2312"/>
          <w:sz w:val="32"/>
          <w:szCs w:val="32"/>
          <w:lang w:val="en-US" w:eastAsia="zh-CN"/>
        </w:rPr>
        <w:t>万元（其中基本支出</w:t>
      </w:r>
      <w:r>
        <w:rPr>
          <w:rFonts w:hint="eastAsia" w:ascii="仿宋_GB2312" w:hAnsi="仿宋" w:eastAsia="仿宋_GB2312"/>
          <w:color w:val="000000"/>
          <w:sz w:val="32"/>
          <w:szCs w:val="32"/>
          <w:lang w:val="en-US" w:eastAsia="zh-CN"/>
        </w:rPr>
        <w:t>777.19</w:t>
      </w:r>
      <w:r>
        <w:rPr>
          <w:rFonts w:hint="eastAsia" w:ascii="仿宋_GB2312" w:hAnsi="仿宋" w:eastAsia="仿宋_GB2312" w:cs="仿宋_GB2312"/>
          <w:sz w:val="32"/>
          <w:szCs w:val="32"/>
          <w:lang w:val="en-US" w:eastAsia="zh-CN"/>
        </w:rPr>
        <w:t>万元、项目支出</w:t>
      </w:r>
      <w:r>
        <w:rPr>
          <w:rFonts w:hint="eastAsia" w:ascii="仿宋_GB2312" w:hAnsi="仿宋" w:eastAsia="仿宋_GB2312"/>
          <w:color w:val="000000"/>
          <w:sz w:val="32"/>
          <w:szCs w:val="32"/>
          <w:lang w:val="en-US" w:eastAsia="zh-CN"/>
        </w:rPr>
        <w:t>26719.52</w:t>
      </w:r>
      <w:r>
        <w:rPr>
          <w:rFonts w:hint="eastAsia" w:ascii="仿宋_GB2312" w:hAnsi="仿宋" w:eastAsia="仿宋_GB2312" w:cs="仿宋_GB2312"/>
          <w:sz w:val="32"/>
          <w:szCs w:val="32"/>
          <w:lang w:val="en-US" w:eastAsia="zh-CN"/>
        </w:rPr>
        <w:t>万元）。预算编制是我镇预算体制最基本的环节,是预算管理体制改革的核心。预算编制秉承实事求是的原则，对我镇财政支出做出合理规划，对财政管理体制的完善、活动范围的合理界定、监督和约束都具有重要作用。</w:t>
      </w:r>
    </w:p>
    <w:p>
      <w:pPr>
        <w:spacing w:line="580" w:lineRule="exact"/>
        <w:ind w:firstLine="640" w:firstLineChars="200"/>
        <w:rPr>
          <w:rFonts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包括部门自评质量、绩效目标公开和自评公开、评价结果整改和应用结果反馈等情况。</w:t>
      </w:r>
    </w:p>
    <w:p>
      <w:pPr>
        <w:spacing w:line="580" w:lineRule="exact"/>
        <w:ind w:firstLine="640" w:firstLineChars="200"/>
        <w:rPr>
          <w:rFonts w:ascii="仿宋_GB2312" w:hAnsi="仿宋" w:eastAsia="仿宋_GB2312" w:cs="仿宋_GB2312"/>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360" w:lineRule="auto"/>
        <w:ind w:firstLine="645"/>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360" w:lineRule="auto"/>
        <w:ind w:firstLine="645"/>
        <w:jc w:val="left"/>
        <w:rPr>
          <w:rFonts w:hint="eastAsia" w:ascii="仿宋" w:hAnsi="仿宋" w:eastAsia="仿宋"/>
          <w:color w:val="000000"/>
          <w:sz w:val="32"/>
          <w:szCs w:val="32"/>
        </w:rPr>
      </w:pPr>
      <w:r>
        <w:rPr>
          <w:rFonts w:hint="eastAsia" w:ascii="仿宋" w:hAnsi="仿宋" w:eastAsia="仿宋"/>
          <w:color w:val="000000"/>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w:t>
      </w:r>
      <w:r>
        <w:rPr>
          <w:rFonts w:hint="eastAsia" w:ascii="仿宋" w:hAnsi="仿宋" w:eastAsia="仿宋"/>
          <w:color w:val="000000"/>
          <w:sz w:val="32"/>
          <w:szCs w:val="32"/>
          <w:lang w:eastAsia="zh-CN"/>
        </w:rPr>
        <w:t>。</w:t>
      </w:r>
      <w:r>
        <w:rPr>
          <w:rFonts w:hint="eastAsia" w:ascii="仿宋" w:hAnsi="仿宋" w:eastAsia="仿宋"/>
          <w:color w:val="000000"/>
          <w:sz w:val="32"/>
          <w:szCs w:val="32"/>
        </w:rPr>
        <w:t>结合评价得分评价结果为良好。</w:t>
      </w:r>
    </w:p>
    <w:p>
      <w:pPr>
        <w:spacing w:line="580" w:lineRule="exact"/>
        <w:ind w:firstLine="640" w:firstLineChars="200"/>
        <w:rPr>
          <w:rFonts w:ascii="仿宋_GB2312" w:hAnsi="仿宋" w:eastAsia="仿宋_GB2312" w:cs="仿宋_GB2312"/>
          <w:sz w:val="32"/>
          <w:szCs w:val="32"/>
        </w:rPr>
      </w:pPr>
    </w:p>
    <w:p>
      <w:pPr>
        <w:numPr>
          <w:ilvl w:val="0"/>
          <w:numId w:val="2"/>
        </w:numPr>
        <w:spacing w:line="580" w:lineRule="exact"/>
        <w:ind w:left="-220" w:leftChars="0" w:firstLine="640" w:firstLineChars="0"/>
        <w:rPr>
          <w:rFonts w:hint="eastAsia" w:ascii="仿宋_GB2312" w:hAnsi="仿宋" w:eastAsia="仿宋_GB2312" w:cs="仿宋_GB2312"/>
          <w:sz w:val="32"/>
          <w:szCs w:val="32"/>
        </w:rPr>
      </w:pPr>
      <w:r>
        <w:rPr>
          <w:rFonts w:hint="eastAsia" w:ascii="仿宋_GB2312" w:hAnsi="仿宋" w:eastAsia="仿宋_GB2312" w:cs="仿宋_GB2312"/>
          <w:sz w:val="32"/>
          <w:szCs w:val="32"/>
        </w:rPr>
        <w:t>存在问题。</w:t>
      </w:r>
    </w:p>
    <w:p>
      <w:pPr>
        <w:numPr>
          <w:ilvl w:val="0"/>
          <w:numId w:val="0"/>
        </w:numPr>
        <w:spacing w:line="580" w:lineRule="exact"/>
        <w:ind w:left="420" w:leftChars="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财务公开与监督建设有待进一步提高。</w:t>
      </w:r>
    </w:p>
    <w:p>
      <w:pPr>
        <w:numPr>
          <w:ilvl w:val="0"/>
          <w:numId w:val="2"/>
        </w:numPr>
        <w:spacing w:line="580" w:lineRule="exact"/>
        <w:ind w:left="-220" w:leftChars="0" w:firstLine="640" w:firstLineChars="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改进建议。</w:t>
      </w:r>
    </w:p>
    <w:p>
      <w:pPr>
        <w:numPr>
          <w:ilvl w:val="0"/>
          <w:numId w:val="0"/>
        </w:num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1、加强资金的管理，在公共运行维护资金的使用范围上严格把关，按照规定进行公示。</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2、及时总结我镇在公共运行维护项目在实施过程中存在的问题及好的经验，进一步加大宣传力度，完善运行维护费工作机制。</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3、加强宣传基础设施维修维护费的用途，督促村干部在项目完工后及时报账。 </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 w:hAnsi="仿宋" w:eastAsia="仿宋"/>
          <w:color w:val="000000"/>
          <w:sz w:val="32"/>
          <w:szCs w:val="32"/>
        </w:rPr>
        <w:t>我们将进一步重视预算的编制工作，提高预算编制的精确度，提高财政资金使用效率，尽量减少预算执行调整、结转和结余注销的情形。</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7C65C"/>
    <w:multiLevelType w:val="singleLevel"/>
    <w:tmpl w:val="9647C65C"/>
    <w:lvl w:ilvl="0" w:tentative="0">
      <w:start w:val="1"/>
      <w:numFmt w:val="decimal"/>
      <w:suff w:val="nothing"/>
      <w:lvlText w:val="%1、"/>
      <w:lvlJc w:val="left"/>
    </w:lvl>
  </w:abstractNum>
  <w:abstractNum w:abstractNumId="1">
    <w:nsid w:val="0464B367"/>
    <w:multiLevelType w:val="singleLevel"/>
    <w:tmpl w:val="0464B367"/>
    <w:lvl w:ilvl="0" w:tentative="0">
      <w:start w:val="2"/>
      <w:numFmt w:val="chineseCounting"/>
      <w:suff w:val="nothing"/>
      <w:lvlText w:val="（%1）"/>
      <w:lvlJc w:val="left"/>
      <w:pPr>
        <w:ind w:left="-2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1DB7FFF"/>
    <w:rsid w:val="08197F78"/>
    <w:rsid w:val="0E067869"/>
    <w:rsid w:val="0EDF1107"/>
    <w:rsid w:val="1FEE44A8"/>
    <w:rsid w:val="256776D5"/>
    <w:rsid w:val="2EA461DB"/>
    <w:rsid w:val="36160BC7"/>
    <w:rsid w:val="36435EC2"/>
    <w:rsid w:val="374C71CF"/>
    <w:rsid w:val="3BA82F42"/>
    <w:rsid w:val="3BD420FC"/>
    <w:rsid w:val="5400621C"/>
    <w:rsid w:val="5787296B"/>
    <w:rsid w:val="60D032A5"/>
    <w:rsid w:val="67C27C08"/>
    <w:rsid w:val="6B2A55B1"/>
    <w:rsid w:val="71DA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Body Text"/>
    <w:basedOn w:val="1"/>
    <w:qFormat/>
    <w:uiPriority w:val="99"/>
    <w:pPr>
      <w:spacing w:beforeLines="30"/>
    </w:pPr>
    <w:rPr>
      <w:rFonts w:ascii="仿宋_GB2312" w:eastAsia="仿宋_GB2312"/>
      <w:kern w:val="0"/>
      <w:sz w:val="30"/>
    </w:rPr>
  </w:style>
  <w:style w:type="paragraph" w:styleId="5">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able of figures"/>
    <w:basedOn w:val="1"/>
    <w:next w:val="1"/>
    <w:qFormat/>
    <w:uiPriority w:val="0"/>
    <w:pPr>
      <w:spacing w:before="100" w:beforeAutospacing="1" w:after="100" w:afterAutospacing="1"/>
      <w:ind w:left="200" w:leftChars="200" w:hanging="200" w:hangingChars="200"/>
    </w:pPr>
    <w:rPr>
      <w:sz w:val="20"/>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标题 2 Char"/>
    <w:basedOn w:val="9"/>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1</TotalTime>
  <ScaleCrop>false</ScaleCrop>
  <LinksUpToDate>false</LinksUpToDate>
  <CharactersWithSpaces>359</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Lithromantic</cp:lastModifiedBy>
  <dcterms:modified xsi:type="dcterms:W3CDTF">2021-08-18T08:28:53Z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490FA1C149664513AE7F9DD2C4936CDB</vt:lpwstr>
  </property>
</Properties>
</file>