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 w:hAnsi="仿宋" w:eastAsia="仿宋" w:cs="仿宋"/>
          <w:b/>
          <w:bCs/>
          <w:sz w:val="44"/>
          <w:szCs w:val="44"/>
        </w:rPr>
      </w:pPr>
      <w:r>
        <w:rPr>
          <w:rFonts w:hint="eastAsia" w:ascii="仿宋" w:hAnsi="仿宋" w:eastAsia="仿宋" w:cs="仿宋"/>
          <w:b/>
          <w:bCs/>
          <w:sz w:val="44"/>
          <w:szCs w:val="44"/>
        </w:rPr>
        <w:t>黑水县交通局</w:t>
      </w:r>
    </w:p>
    <w:p>
      <w:pPr>
        <w:spacing w:line="640" w:lineRule="exact"/>
        <w:jc w:val="center"/>
        <w:rPr>
          <w:rFonts w:ascii="仿宋" w:hAnsi="仿宋" w:eastAsia="仿宋" w:cs="仿宋"/>
          <w:b/>
          <w:bCs/>
          <w:sz w:val="28"/>
          <w:szCs w:val="28"/>
        </w:rPr>
      </w:pPr>
      <w:r>
        <w:rPr>
          <w:rFonts w:hint="eastAsia" w:ascii="仿宋" w:hAnsi="仿宋" w:eastAsia="仿宋" w:cs="仿宋"/>
          <w:b/>
          <w:bCs/>
          <w:sz w:val="44"/>
          <w:szCs w:val="44"/>
        </w:rPr>
        <w:t>2021年及部门整体支出绩效评价报告</w:t>
      </w:r>
    </w:p>
    <w:p>
      <w:pPr>
        <w:overflowPunct w:val="0"/>
        <w:autoSpaceDE w:val="0"/>
        <w:autoSpaceDN w:val="0"/>
        <w:adjustRightInd w:val="0"/>
        <w:spacing w:beforeLines="20" w:line="640" w:lineRule="exact"/>
        <w:ind w:right="38" w:rightChars="16"/>
        <w:rPr>
          <w:rFonts w:ascii="仿宋" w:hAnsi="仿宋" w:eastAsia="仿宋" w:cs="仿宋"/>
          <w:b/>
          <w:bCs/>
          <w:sz w:val="28"/>
          <w:szCs w:val="28"/>
        </w:rPr>
      </w:pPr>
    </w:p>
    <w:p>
      <w:pPr>
        <w:overflowPunct w:val="0"/>
        <w:autoSpaceDE w:val="0"/>
        <w:autoSpaceDN w:val="0"/>
        <w:adjustRightInd w:val="0"/>
        <w:spacing w:beforeLines="20" w:line="640" w:lineRule="exact"/>
        <w:ind w:right="38" w:rightChars="16" w:firstLine="600" w:firstLineChars="200"/>
        <w:jc w:val="both"/>
        <w:rPr>
          <w:rFonts w:ascii="仿宋" w:hAnsi="仿宋" w:eastAsia="仿宋" w:cs="仿宋"/>
          <w:sz w:val="30"/>
          <w:szCs w:val="30"/>
        </w:rPr>
      </w:pPr>
      <w:r>
        <w:rPr>
          <w:rFonts w:hint="eastAsia" w:ascii="仿宋" w:hAnsi="仿宋" w:eastAsia="仿宋" w:cs="仿宋"/>
          <w:sz w:val="30"/>
          <w:szCs w:val="30"/>
        </w:rPr>
        <w:t>黑水县交通局根据《黑水县财政局关于开展2022年部门、政策和项目支出绩效评价工作的通知》（黑财【2022】177号】）要求，开展了对本部门2021年全年及2022年1-6月部门整体支出绩效评价。报告如下：</w:t>
      </w:r>
    </w:p>
    <w:p>
      <w:pPr>
        <w:numPr>
          <w:ilvl w:val="0"/>
          <w:numId w:val="1"/>
        </w:num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部门(单位)概况</w:t>
      </w:r>
    </w:p>
    <w:p>
      <w:pPr>
        <w:spacing w:line="640" w:lineRule="exact"/>
        <w:ind w:firstLine="642"/>
        <w:jc w:val="both"/>
        <w:outlineLvl w:val="0"/>
        <w:rPr>
          <w:rFonts w:ascii="仿宋" w:hAnsi="仿宋" w:eastAsia="仿宋" w:cs="仿宋"/>
          <w:b/>
          <w:sz w:val="30"/>
          <w:szCs w:val="30"/>
        </w:rPr>
      </w:pPr>
      <w:r>
        <w:rPr>
          <w:rFonts w:hint="eastAsia" w:ascii="仿宋" w:hAnsi="仿宋" w:eastAsia="仿宋" w:cs="仿宋"/>
          <w:b/>
          <w:sz w:val="30"/>
          <w:szCs w:val="30"/>
        </w:rPr>
        <w:t>(一)单位基本情况</w:t>
      </w:r>
    </w:p>
    <w:p>
      <w:pPr>
        <w:widowControl w:val="0"/>
        <w:autoSpaceDE w:val="0"/>
        <w:spacing w:line="640" w:lineRule="exact"/>
        <w:ind w:firstLine="602" w:firstLineChars="200"/>
        <w:jc w:val="both"/>
        <w:rPr>
          <w:rFonts w:ascii="仿宋" w:hAnsi="仿宋" w:eastAsia="仿宋" w:cs="仿宋"/>
          <w:sz w:val="30"/>
          <w:szCs w:val="30"/>
        </w:rPr>
      </w:pPr>
      <w:r>
        <w:rPr>
          <w:rFonts w:hint="eastAsia" w:ascii="仿宋" w:hAnsi="仿宋" w:eastAsia="仿宋" w:cs="仿宋"/>
          <w:b/>
          <w:sz w:val="30"/>
          <w:szCs w:val="30"/>
        </w:rPr>
        <w:t>1、主要职能。</w:t>
      </w:r>
      <w:r>
        <w:rPr>
          <w:rFonts w:hint="eastAsia" w:ascii="仿宋" w:hAnsi="仿宋" w:eastAsia="仿宋" w:cs="仿宋"/>
          <w:sz w:val="30"/>
          <w:szCs w:val="30"/>
        </w:rPr>
        <w:t>县交通运输局贯彻落实党中央关于交通运输工作的方针政策和省委、州委、县委决策部署，在履行职责过程中坚持和加强党对交通运输工作的集中统一领导。主要职责是：贯彻执行国家、省、州有关交通运输行业的方针、政策和法法规。组织拟订并监督实施公路、水路等行业规划、政策和会同有关部门组织编制综合运输体系规划。负责本系统、本部门依法行政工作，落实行政执法责任制。指导公路、水路行业有关体制改革工作，负责全县物流管理工作。承担道路、水路交通运输市场监管责任，组织制定道路运输有关政策、技术标准和运营规范并监督实施，指导乡镇管理工作，指导出租汽车行业管理工作，会同有关部门制定运输价格。</w:t>
      </w:r>
    </w:p>
    <w:p>
      <w:pPr>
        <w:widowControl w:val="0"/>
        <w:autoSpaceDE w:val="0"/>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拟订公路、水路工程建设相关政策、制度、技术标准并监督实施，组织协调公路有关重点工程建设和工程质量、安全生产监督管理工作，负责对交通行业和产业项目的招标投标活动的监督执法，承担全县高速公路统一管理、建设的有关工作（我县暂无高速公路）。指导交通运输基础设施管理和维护，承担有关重要设施的管理和维护。按规定指导交通运输行业经营管理，会同有关部门组织实施交通运输行业职业资格管理工作。指导公路、水路行业安全生产和应急管理工作。按规定组织协调省、州、县重点物资和紧急客货运输。组织协调地方交通战备工作，承担国防动员有关工作。制定交通运输科技政策并监督实施，组织重大科技开发。指导全县交通运输信息化建设，监测分析运行情况，开展相关统计工作，发布有关信息。指导公路、水路行业环境保护和节能减排工作。负责公路、水路有关涉外工作，开展对外经济技术交流与合作，指导全县交通运输行业招商引资和利用外资工作。 强化参与拟订物流业发展战略和规划，拟订有 关政策并监督实施的职责。负责全县交通行政综合执法工作。</w:t>
      </w:r>
    </w:p>
    <w:p>
      <w:pPr>
        <w:spacing w:line="640" w:lineRule="exact"/>
        <w:ind w:firstLine="301" w:firstLineChars="100"/>
        <w:jc w:val="both"/>
        <w:outlineLvl w:val="1"/>
        <w:rPr>
          <w:rFonts w:ascii="仿宋" w:hAnsi="仿宋" w:eastAsia="仿宋" w:cs="仿宋"/>
          <w:b/>
          <w:sz w:val="30"/>
          <w:szCs w:val="30"/>
        </w:rPr>
      </w:pPr>
      <w:r>
        <w:rPr>
          <w:rFonts w:hint="eastAsia" w:ascii="仿宋" w:hAnsi="仿宋" w:eastAsia="仿宋" w:cs="仿宋"/>
          <w:b/>
          <w:sz w:val="30"/>
          <w:szCs w:val="30"/>
        </w:rPr>
        <w:t>(二）主要工作任务</w:t>
      </w:r>
    </w:p>
    <w:p>
      <w:pPr>
        <w:autoSpaceDE w:val="0"/>
        <w:spacing w:line="640" w:lineRule="exact"/>
        <w:ind w:firstLine="600" w:firstLineChars="200"/>
        <w:rPr>
          <w:rFonts w:ascii="仿宋" w:hAnsi="仿宋" w:eastAsia="仿宋" w:cs="仿宋"/>
          <w:b/>
          <w:sz w:val="30"/>
          <w:szCs w:val="30"/>
        </w:rPr>
      </w:pPr>
      <w:r>
        <w:rPr>
          <w:rFonts w:hint="eastAsia" w:ascii="仿宋" w:hAnsi="仿宋" w:eastAsia="仿宋" w:cs="仿宋"/>
          <w:kern w:val="2"/>
          <w:sz w:val="30"/>
          <w:szCs w:val="30"/>
        </w:rPr>
        <w:t>一、</w:t>
      </w:r>
      <w:r>
        <w:rPr>
          <w:rFonts w:hint="eastAsia" w:ascii="仿宋" w:hAnsi="仿宋" w:eastAsia="仿宋" w:cs="仿宋"/>
          <w:b/>
          <w:sz w:val="30"/>
          <w:szCs w:val="30"/>
        </w:rPr>
        <w:t>重点交通项目建设情况</w:t>
      </w:r>
    </w:p>
    <w:p>
      <w:pPr>
        <w:autoSpaceDE w:val="0"/>
        <w:spacing w:line="640" w:lineRule="exact"/>
        <w:ind w:firstLine="602" w:firstLineChars="200"/>
        <w:jc w:val="both"/>
        <w:rPr>
          <w:rFonts w:ascii="仿宋" w:hAnsi="仿宋" w:eastAsia="仿宋" w:cs="仿宋"/>
          <w:kern w:val="2"/>
          <w:sz w:val="30"/>
          <w:szCs w:val="30"/>
        </w:rPr>
      </w:pPr>
      <w:r>
        <w:rPr>
          <w:rFonts w:hint="eastAsia" w:ascii="仿宋" w:hAnsi="仿宋" w:eastAsia="仿宋" w:cs="仿宋"/>
          <w:b/>
          <w:kern w:val="2"/>
          <w:sz w:val="30"/>
          <w:szCs w:val="30"/>
        </w:rPr>
        <w:t>1.G347线茂县两河口至红原壤口段公路提升改造工程。</w:t>
      </w:r>
      <w:r>
        <w:rPr>
          <w:rFonts w:hint="eastAsia" w:ascii="仿宋" w:hAnsi="仿宋" w:eastAsia="仿宋" w:cs="仿宋"/>
          <w:kern w:val="2"/>
          <w:sz w:val="30"/>
          <w:szCs w:val="30"/>
        </w:rPr>
        <w:t>项目全长约155.169公里，黑水县境内112.061公里，工可投资29.8亿元，施工图预算26.7亿元，施工合同总价17.69亿元。该项目于2019年6月开工建设，累计完成投资累计完成投资18.61亿元，隧道工程96.38%，桥梁工程91.97%，涵洞工程98.08%，挡防工程99.65%，路面工程93.84%，绿化工程90.18%，安保工程82.43%。</w:t>
      </w:r>
    </w:p>
    <w:p>
      <w:pPr>
        <w:autoSpaceDE w:val="0"/>
        <w:spacing w:line="640" w:lineRule="exact"/>
        <w:ind w:firstLine="602" w:firstLineChars="200"/>
        <w:jc w:val="both"/>
        <w:rPr>
          <w:rFonts w:ascii="仿宋" w:hAnsi="仿宋" w:eastAsia="仿宋" w:cs="仿宋"/>
          <w:kern w:val="2"/>
          <w:sz w:val="30"/>
          <w:szCs w:val="30"/>
        </w:rPr>
      </w:pPr>
      <w:r>
        <w:rPr>
          <w:rFonts w:hint="eastAsia" w:ascii="仿宋" w:hAnsi="仿宋" w:eastAsia="仿宋" w:cs="仿宋"/>
          <w:b/>
          <w:kern w:val="2"/>
          <w:sz w:val="30"/>
          <w:szCs w:val="30"/>
        </w:rPr>
        <w:t>2.S446线黑水县扎窝至红岩隧道新建工程。</w:t>
      </w:r>
      <w:r>
        <w:rPr>
          <w:rFonts w:hint="eastAsia" w:ascii="仿宋" w:hAnsi="仿宋" w:eastAsia="仿宋" w:cs="仿宋"/>
          <w:kern w:val="2"/>
          <w:sz w:val="30"/>
          <w:szCs w:val="30"/>
        </w:rPr>
        <w:t>计划投资6.72亿元，项目全长8.404公里，该项目于2018年1月6日开工建设，累计完成投资累计完成投资4.95亿元，隧道工程完成88.45%,桥梁桩基完成91%，桥梁下构完成90.5%，桥梁上构完成95%。</w:t>
      </w:r>
    </w:p>
    <w:p>
      <w:pPr>
        <w:pStyle w:val="2"/>
        <w:autoSpaceDE w:val="0"/>
        <w:spacing w:line="640" w:lineRule="exact"/>
        <w:ind w:left="0" w:leftChars="0" w:firstLine="602" w:firstLineChars="200"/>
        <w:rPr>
          <w:rFonts w:ascii="仿宋" w:hAnsi="仿宋" w:eastAsia="仿宋" w:cs="仿宋"/>
          <w:kern w:val="2"/>
          <w:sz w:val="30"/>
          <w:szCs w:val="30"/>
        </w:rPr>
      </w:pPr>
      <w:r>
        <w:rPr>
          <w:rFonts w:hint="eastAsia" w:ascii="仿宋" w:hAnsi="仿宋" w:eastAsia="仿宋" w:cs="仿宋"/>
          <w:b/>
          <w:kern w:val="2"/>
          <w:sz w:val="30"/>
          <w:szCs w:val="30"/>
        </w:rPr>
        <w:t>3.S446松黑路晴朗乡下达盖村至S447渔卡路才盖村连接线道路建设工程。</w:t>
      </w:r>
      <w:r>
        <w:rPr>
          <w:rFonts w:hint="eastAsia" w:ascii="仿宋" w:hAnsi="仿宋" w:eastAsia="仿宋" w:cs="仿宋"/>
          <w:kern w:val="2"/>
          <w:sz w:val="30"/>
          <w:szCs w:val="30"/>
        </w:rPr>
        <w:t>路线起点位于卡龙镇才盖村与S447相接，终点位于晴朗乡下达盖村与S446相接，全长41.252171 km，主要技术指标：四级公路与农村公路结合。</w:t>
      </w:r>
    </w:p>
    <w:p>
      <w:pPr>
        <w:pStyle w:val="2"/>
        <w:autoSpaceDE w:val="0"/>
        <w:spacing w:line="640" w:lineRule="exact"/>
        <w:ind w:left="0" w:leftChars="0" w:firstLine="602" w:firstLineChars="200"/>
        <w:rPr>
          <w:rFonts w:ascii="仿宋" w:hAnsi="仿宋" w:eastAsia="仿宋" w:cs="仿宋"/>
          <w:b/>
          <w:kern w:val="2"/>
          <w:sz w:val="30"/>
          <w:szCs w:val="30"/>
        </w:rPr>
      </w:pPr>
      <w:r>
        <w:rPr>
          <w:rFonts w:hint="eastAsia" w:ascii="仿宋" w:hAnsi="仿宋" w:eastAsia="仿宋" w:cs="仿宋"/>
          <w:b/>
          <w:kern w:val="2"/>
          <w:sz w:val="30"/>
          <w:szCs w:val="30"/>
        </w:rPr>
        <w:t>二、推进“四好农村”路建设</w:t>
      </w:r>
    </w:p>
    <w:p>
      <w:pPr>
        <w:autoSpaceDE w:val="0"/>
        <w:spacing w:line="640" w:lineRule="exac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为全面贯彻党中央、国务院对“三农”工作部署、全国农村公路现场会议和州委州政府创建全国“四好农村路”示范州暨十四五交通大会战动员大会精神，我局深入推进省级“四好农村路”创建工作，全面推进我县农村公路建、管、养、运协调可持续发展。围绕“产业建路网”，聚焦贫困村退出“有硬化路”标准，助力乡村振兴奠定坚实基础。今年，</w:t>
      </w:r>
      <w:r>
        <w:rPr>
          <w:rFonts w:hint="eastAsia" w:ascii="仿宋" w:hAnsi="仿宋" w:eastAsia="仿宋" w:cs="仿宋"/>
          <w:kern w:val="2"/>
          <w:sz w:val="30"/>
          <w:szCs w:val="30"/>
          <w:lang w:eastAsia="zh-CN"/>
        </w:rPr>
        <w:t>为</w:t>
      </w:r>
      <w:r>
        <w:rPr>
          <w:rFonts w:hint="eastAsia" w:ascii="仿宋" w:hAnsi="仿宋" w:eastAsia="仿宋" w:cs="仿宋"/>
          <w:kern w:val="2"/>
          <w:sz w:val="30"/>
          <w:szCs w:val="30"/>
        </w:rPr>
        <w:t>积极争创省级“四好农村路”示范县。</w:t>
      </w:r>
      <w:r>
        <w:rPr>
          <w:rFonts w:hint="eastAsia" w:ascii="仿宋" w:hAnsi="仿宋" w:eastAsia="仿宋" w:cs="仿宋"/>
          <w:kern w:val="2"/>
          <w:sz w:val="30"/>
          <w:szCs w:val="30"/>
          <w:lang w:eastAsia="zh-CN"/>
        </w:rPr>
        <w:t>申报了黑水县</w:t>
      </w:r>
      <w:r>
        <w:rPr>
          <w:rFonts w:hint="eastAsia" w:ascii="仿宋" w:hAnsi="仿宋" w:eastAsia="仿宋" w:cs="仿宋"/>
          <w:color w:val="333333"/>
          <w:kern w:val="0"/>
          <w:sz w:val="30"/>
          <w:szCs w:val="30"/>
          <w:lang w:eastAsia="zh-CN"/>
        </w:rPr>
        <w:t>2021年“四好农村”公路第二批建设项目。该项目涉及乡道四条56.2公里（石碉楼乡道、色瓦乡道、龙洛乡道、慈坝乡道）。计划投资1453.3</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lang w:eastAsia="zh-CN"/>
        </w:rPr>
        <w:t>万元，项目于2021年3月开工建设，8月底完成，并于2021年11月完成由县级相关部门组织的交竣工验收合格，已完成交（竣）工决算，并已完成工程审计。</w:t>
      </w:r>
      <w:r>
        <w:rPr>
          <w:rFonts w:hint="eastAsia" w:ascii="仿宋" w:hAnsi="仿宋" w:eastAsia="仿宋" w:cs="仿宋"/>
          <w:kern w:val="2"/>
          <w:sz w:val="30"/>
          <w:szCs w:val="30"/>
        </w:rPr>
        <w:t>。</w:t>
      </w:r>
    </w:p>
    <w:p>
      <w:pPr>
        <w:pStyle w:val="2"/>
        <w:autoSpaceDE w:val="0"/>
        <w:spacing w:line="640" w:lineRule="exact"/>
        <w:ind w:left="0" w:leftChars="0" w:firstLine="602" w:firstLineChars="200"/>
        <w:rPr>
          <w:rFonts w:ascii="仿宋" w:hAnsi="仿宋" w:eastAsia="仿宋" w:cs="仿宋"/>
          <w:b/>
          <w:kern w:val="2"/>
          <w:sz w:val="30"/>
          <w:szCs w:val="30"/>
        </w:rPr>
      </w:pPr>
      <w:r>
        <w:rPr>
          <w:rFonts w:hint="eastAsia" w:ascii="仿宋" w:hAnsi="仿宋" w:eastAsia="仿宋" w:cs="仿宋"/>
          <w:b/>
          <w:kern w:val="2"/>
          <w:sz w:val="30"/>
          <w:szCs w:val="30"/>
        </w:rPr>
        <w:t>三、扎实开展水毁道路抢通保通恢复</w:t>
      </w:r>
    </w:p>
    <w:p>
      <w:pPr>
        <w:autoSpaceDE w:val="0"/>
        <w:spacing w:line="640" w:lineRule="exac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今年6月以来，我县连续出现强降雨过程，并出现大暴雨、特大暴雨等天气，本次降雨时间长、范围广，雨量高度集中，造成我县道路损毁严重。在县委、县政府的正确领导以及各乡镇党委政府大力支持和帮助下，及时组织社会力量，调集人、机、料，清理塌方，抢修道路，已完成色瓦路、大慈路、龙洛路等三条水毁乡道修复工作，保障行人车辆通行。</w:t>
      </w:r>
    </w:p>
    <w:p>
      <w:pPr>
        <w:autoSpaceDE w:val="0"/>
        <w:spacing w:line="640" w:lineRule="exact"/>
        <w:ind w:firstLine="602" w:firstLineChars="200"/>
        <w:rPr>
          <w:rFonts w:ascii="仿宋" w:hAnsi="仿宋" w:eastAsia="仿宋" w:cs="仿宋"/>
          <w:b/>
          <w:kern w:val="2"/>
          <w:sz w:val="30"/>
          <w:szCs w:val="30"/>
        </w:rPr>
      </w:pPr>
      <w:r>
        <w:rPr>
          <w:rFonts w:hint="eastAsia" w:ascii="仿宋" w:hAnsi="仿宋" w:eastAsia="仿宋" w:cs="仿宋"/>
          <w:b/>
          <w:kern w:val="2"/>
          <w:sz w:val="30"/>
          <w:szCs w:val="30"/>
        </w:rPr>
        <w:t>四、“十四五”综合交通发展规划</w:t>
      </w:r>
    </w:p>
    <w:p>
      <w:pPr>
        <w:autoSpaceDE w:val="0"/>
        <w:spacing w:line="64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我县“十四五”综合交通发展规划包括公路、铁路、水运、航空、物流、运输场站等内容。规划基期年为2021年，规划期限为5年，即2021-2025。2021年5月开始编制，7月下旬邀请各主管部门对规划初稿进行了会审，并就规划思路、方向、重点及存在问题等方面与编制单位交换了意见；目前，规划送审稿已完成，并经专家审查，同时，由我局牵头正在向各主管部门征求意见，预计本月底规划修编稿可提交。</w:t>
      </w:r>
    </w:p>
    <w:p>
      <w:pPr>
        <w:pStyle w:val="2"/>
        <w:autoSpaceDE w:val="0"/>
        <w:spacing w:line="640" w:lineRule="exact"/>
        <w:ind w:left="0" w:leftChars="0" w:firstLine="602" w:firstLineChars="200"/>
        <w:rPr>
          <w:rFonts w:ascii="仿宋" w:hAnsi="仿宋" w:eastAsia="仿宋" w:cs="仿宋"/>
          <w:b/>
          <w:kern w:val="2"/>
          <w:sz w:val="30"/>
          <w:szCs w:val="30"/>
        </w:rPr>
      </w:pPr>
      <w:r>
        <w:rPr>
          <w:rFonts w:hint="eastAsia" w:ascii="仿宋" w:hAnsi="仿宋" w:eastAsia="仿宋" w:cs="仿宋"/>
          <w:b/>
          <w:kern w:val="2"/>
          <w:sz w:val="30"/>
          <w:szCs w:val="30"/>
        </w:rPr>
        <w:t>五、严格落实疫情防控责任</w:t>
      </w:r>
    </w:p>
    <w:p>
      <w:pPr>
        <w:autoSpaceDE w:val="0"/>
        <w:spacing w:line="64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按照县疫情防控指挥部的统一部署，县交通运输疫情防控专班及时做好了交通疫情防控工作。一是交通专班按时执行24小时值班值守工作，及时整理了交通运输组疫情防控常态化工作相关资料，并建立了档案。二是部门联动开展了联合检查工作。交通执法人员定期开展上路巡察工作，在抓好交通运输安全管理同时切实落实了疫情防控工作，对过境的客、货运输车辆、冷链运输食品车辆进行了检查，重点是检查“三证一单”。</w:t>
      </w:r>
    </w:p>
    <w:p>
      <w:pPr>
        <w:pStyle w:val="2"/>
        <w:autoSpaceDE w:val="0"/>
        <w:spacing w:line="640" w:lineRule="exact"/>
        <w:ind w:left="0" w:leftChars="0" w:firstLine="602" w:firstLineChars="200"/>
        <w:rPr>
          <w:rFonts w:ascii="仿宋" w:hAnsi="仿宋" w:eastAsia="仿宋" w:cs="仿宋"/>
          <w:b/>
          <w:kern w:val="2"/>
          <w:sz w:val="30"/>
          <w:szCs w:val="30"/>
        </w:rPr>
      </w:pPr>
      <w:r>
        <w:rPr>
          <w:rFonts w:hint="eastAsia" w:ascii="仿宋" w:hAnsi="仿宋" w:eastAsia="仿宋" w:cs="仿宋"/>
          <w:b/>
          <w:kern w:val="2"/>
          <w:sz w:val="30"/>
          <w:szCs w:val="30"/>
        </w:rPr>
        <w:t>六、狠抓交通行业乱象治理</w:t>
      </w:r>
    </w:p>
    <w:p>
      <w:pPr>
        <w:autoSpaceDE w:val="0"/>
        <w:spacing w:line="640" w:lineRule="exact"/>
        <w:ind w:firstLine="600" w:firstLineChars="200"/>
        <w:jc w:val="both"/>
        <w:textAlignment w:val="baseline"/>
        <w:rPr>
          <w:rFonts w:ascii="仿宋" w:hAnsi="仿宋" w:eastAsia="仿宋" w:cs="仿宋"/>
          <w:color w:val="000000"/>
          <w:kern w:val="2"/>
          <w:sz w:val="30"/>
          <w:szCs w:val="30"/>
        </w:rPr>
      </w:pPr>
      <w:r>
        <w:rPr>
          <w:rFonts w:hint="eastAsia" w:ascii="仿宋" w:hAnsi="仿宋" w:eastAsia="仿宋" w:cs="仿宋"/>
          <w:kern w:val="2"/>
          <w:sz w:val="30"/>
          <w:szCs w:val="30"/>
        </w:rPr>
        <w:t>根据省州文件精神，我局要求各运输企业把建立完善风险管控和隐患排查工作作为当期工作的重中之重来抓，交通执法大队同时按照“三把关、一监督”和“三不进站、七不出站”的内容，加强对各运输企业的业务指导和行业管理，开展不定期督查，切实抓住道路运输企业、营运车辆、营运驾驶员和汽车客运站的源头管理工作。</w:t>
      </w:r>
    </w:p>
    <w:p>
      <w:pPr>
        <w:autoSpaceDE w:val="0"/>
        <w:spacing w:line="64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同时，在所有建制村实现通客车的基础上，实施“金通工程”，开展我县乡村客运视觉形象“四统一”工作（统一乡村客运标志、统一村级招呼站（牌）、统一车辆标识、统一从业人员辨识物），并通过全省统一的乡村客运管理服务平台对全县农村客运车辆实施数字化管理，建立了班线和预约响应的乡村客运服务，打造统一规范、服务一流、管理高效、人民满意的“金通工程”，让全县百姓共享交通运输改革发展成果。</w:t>
      </w:r>
    </w:p>
    <w:p>
      <w:pPr>
        <w:autoSpaceDE w:val="0"/>
        <w:spacing w:line="640" w:lineRule="exact"/>
        <w:ind w:firstLine="602" w:firstLineChars="200"/>
        <w:rPr>
          <w:rFonts w:ascii="仿宋" w:hAnsi="仿宋" w:eastAsia="仿宋" w:cs="仿宋"/>
          <w:b/>
          <w:sz w:val="30"/>
          <w:szCs w:val="30"/>
        </w:rPr>
      </w:pPr>
      <w:r>
        <w:rPr>
          <w:rFonts w:hint="eastAsia" w:ascii="仿宋" w:hAnsi="仿宋" w:eastAsia="仿宋" w:cs="仿宋"/>
          <w:b/>
          <w:sz w:val="30"/>
          <w:szCs w:val="30"/>
        </w:rPr>
        <w:t>七、深入推进路域环境整治</w:t>
      </w:r>
    </w:p>
    <w:p>
      <w:pPr>
        <w:autoSpaceDE w:val="0"/>
        <w:spacing w:line="640" w:lineRule="exact"/>
        <w:ind w:firstLine="600" w:firstLineChars="200"/>
        <w:rPr>
          <w:rFonts w:ascii="仿宋" w:hAnsi="仿宋" w:eastAsia="仿宋" w:cs="仿宋"/>
          <w:kern w:val="2"/>
          <w:sz w:val="30"/>
          <w:szCs w:val="30"/>
        </w:rPr>
      </w:pPr>
      <w:r>
        <w:rPr>
          <w:rFonts w:hint="eastAsia" w:ascii="仿宋" w:hAnsi="仿宋" w:eastAsia="仿宋" w:cs="仿宋"/>
          <w:kern w:val="2"/>
          <w:sz w:val="30"/>
          <w:szCs w:val="30"/>
        </w:rPr>
        <w:t>一是我局以“依法行政、文明执法”为中心，以加强执法队伍建设，着力提高执法水平为重点，坚持“维护路产路权、保通保畅保安全”的原则，联合公路分局、县交警大队等多个部门积极开展国省干线公路路域环境专项整治工作。与相关部门联合执法，对砂石运输及各砂石料场和涉路施工单位进行检查。</w:t>
      </w:r>
    </w:p>
    <w:p>
      <w:pPr>
        <w:autoSpaceDE w:val="0"/>
        <w:spacing w:line="640" w:lineRule="exact"/>
        <w:ind w:firstLine="602" w:firstLineChars="200"/>
        <w:rPr>
          <w:rFonts w:ascii="仿宋" w:hAnsi="仿宋" w:eastAsia="仿宋" w:cs="仿宋"/>
          <w:b/>
          <w:sz w:val="30"/>
          <w:szCs w:val="30"/>
        </w:rPr>
      </w:pPr>
      <w:r>
        <w:rPr>
          <w:rFonts w:hint="eastAsia" w:ascii="仿宋" w:hAnsi="仿宋" w:eastAsia="仿宋" w:cs="仿宋"/>
          <w:b/>
          <w:sz w:val="30"/>
          <w:szCs w:val="30"/>
        </w:rPr>
        <w:t>八、安全生产工作</w:t>
      </w:r>
      <w:bookmarkStart w:id="0" w:name="_GoBack"/>
      <w:bookmarkEnd w:id="0"/>
    </w:p>
    <w:p>
      <w:pPr>
        <w:autoSpaceDE w:val="0"/>
        <w:spacing w:line="640" w:lineRule="exact"/>
        <w:ind w:firstLine="600" w:firstLineChars="200"/>
        <w:rPr>
          <w:rFonts w:ascii="仿宋" w:hAnsi="仿宋" w:eastAsia="仿宋" w:cs="仿宋"/>
          <w:sz w:val="30"/>
          <w:szCs w:val="30"/>
        </w:rPr>
      </w:pPr>
      <w:r>
        <w:rPr>
          <w:rFonts w:hint="eastAsia" w:ascii="仿宋" w:hAnsi="仿宋" w:eastAsia="仿宋" w:cs="仿宋"/>
          <w:sz w:val="30"/>
          <w:szCs w:val="30"/>
        </w:rPr>
        <w:t>工程建设领域：国道347线茂红路各参建单位严格按照州、县文旅大会道路交通保通保畅保安全会议的精神，开展如下工作：1.开展沿线施工现场隐患排查，落实整改；加强</w:t>
      </w:r>
      <w:r>
        <w:rPr>
          <w:rFonts w:hint="eastAsia" w:ascii="仿宋" w:hAnsi="仿宋" w:eastAsia="仿宋" w:cs="仿宋"/>
          <w:sz w:val="30"/>
          <w:szCs w:val="30"/>
          <w:lang w:eastAsia="zh-CN"/>
        </w:rPr>
        <w:t>事</w:t>
      </w:r>
      <w:r>
        <w:rPr>
          <w:rFonts w:hint="eastAsia" w:ascii="仿宋" w:hAnsi="仿宋" w:eastAsia="仿宋" w:cs="仿宋"/>
          <w:sz w:val="30"/>
          <w:szCs w:val="30"/>
        </w:rPr>
        <w:t>前，</w:t>
      </w:r>
      <w:r>
        <w:rPr>
          <w:rFonts w:hint="eastAsia" w:ascii="仿宋" w:hAnsi="仿宋" w:eastAsia="仿宋" w:cs="仿宋"/>
          <w:sz w:val="30"/>
          <w:szCs w:val="30"/>
          <w:lang w:eastAsia="zh-CN"/>
        </w:rPr>
        <w:t>事</w:t>
      </w:r>
      <w:r>
        <w:rPr>
          <w:rFonts w:hint="eastAsia" w:ascii="仿宋" w:hAnsi="仿宋" w:eastAsia="仿宋" w:cs="仿宋"/>
          <w:sz w:val="30"/>
          <w:szCs w:val="30"/>
        </w:rPr>
        <w:t>中，</w:t>
      </w:r>
      <w:r>
        <w:rPr>
          <w:rFonts w:hint="eastAsia" w:ascii="仿宋" w:hAnsi="仿宋" w:eastAsia="仿宋" w:cs="仿宋"/>
          <w:sz w:val="30"/>
          <w:szCs w:val="30"/>
          <w:lang w:eastAsia="zh-CN"/>
        </w:rPr>
        <w:t>事</w:t>
      </w:r>
      <w:r>
        <w:rPr>
          <w:rFonts w:hint="eastAsia" w:ascii="仿宋" w:hAnsi="仿宋" w:eastAsia="仿宋" w:cs="仿宋"/>
          <w:sz w:val="30"/>
          <w:szCs w:val="30"/>
        </w:rPr>
        <w:t>后安全管理</w:t>
      </w:r>
      <w:r>
        <w:rPr>
          <w:rFonts w:hint="eastAsia" w:ascii="仿宋" w:hAnsi="仿宋" w:eastAsia="仿宋" w:cs="仿宋"/>
          <w:sz w:val="30"/>
          <w:szCs w:val="30"/>
          <w:lang w:eastAsia="zh-CN"/>
        </w:rPr>
        <w:t>；</w:t>
      </w:r>
      <w:r>
        <w:rPr>
          <w:rFonts w:hint="eastAsia" w:ascii="仿宋" w:hAnsi="仿宋" w:eastAsia="仿宋" w:cs="仿宋"/>
          <w:sz w:val="30"/>
          <w:szCs w:val="30"/>
        </w:rPr>
        <w:t>2.积极组织工人对沿线的垃圾进行清理和路面清扫、冲洗，同时对个别路段坑凼进行填补，保障道路行驶舒适，美观</w:t>
      </w:r>
      <w:r>
        <w:rPr>
          <w:rFonts w:hint="eastAsia" w:ascii="仿宋" w:hAnsi="仿宋" w:eastAsia="仿宋" w:cs="仿宋"/>
          <w:sz w:val="30"/>
          <w:szCs w:val="30"/>
          <w:lang w:eastAsia="zh-CN"/>
        </w:rPr>
        <w:t>；</w:t>
      </w:r>
      <w:r>
        <w:rPr>
          <w:rFonts w:hint="eastAsia" w:ascii="仿宋" w:hAnsi="仿宋" w:eastAsia="仿宋" w:cs="仿宋"/>
          <w:sz w:val="30"/>
          <w:szCs w:val="30"/>
        </w:rPr>
        <w:t>3.安排安全人员和管理人员上路巡查，对于地灾点发生地灾时及时报告和清理，确保道路通畅</w:t>
      </w:r>
      <w:r>
        <w:rPr>
          <w:rFonts w:hint="eastAsia" w:ascii="仿宋" w:hAnsi="仿宋" w:eastAsia="仿宋" w:cs="仿宋"/>
          <w:sz w:val="30"/>
          <w:szCs w:val="30"/>
          <w:lang w:eastAsia="zh-CN"/>
        </w:rPr>
        <w:t>；</w:t>
      </w:r>
      <w:r>
        <w:rPr>
          <w:rFonts w:hint="eastAsia" w:ascii="仿宋" w:hAnsi="仿宋" w:eastAsia="仿宋" w:cs="仿宋"/>
          <w:sz w:val="30"/>
          <w:szCs w:val="30"/>
        </w:rPr>
        <w:t>4.各参建单位将严格遵守文旅大会安排，期间不得上路开展存在重大危险风险的作业。5.各参建单位已准备好人员和机械设备作为应急准备。</w:t>
      </w:r>
    </w:p>
    <w:p>
      <w:pPr>
        <w:autoSpaceDE w:val="0"/>
        <w:spacing w:line="640" w:lineRule="exact"/>
        <w:ind w:firstLine="600" w:firstLineChars="200"/>
        <w:rPr>
          <w:rFonts w:ascii="仿宋" w:hAnsi="仿宋" w:eastAsia="仿宋" w:cs="仿宋"/>
          <w:sz w:val="30"/>
          <w:szCs w:val="30"/>
        </w:rPr>
      </w:pPr>
      <w:r>
        <w:rPr>
          <w:rFonts w:hint="eastAsia" w:ascii="仿宋" w:hAnsi="仿宋" w:eastAsia="仿宋" w:cs="仿宋"/>
          <w:sz w:val="30"/>
          <w:szCs w:val="30"/>
        </w:rPr>
        <w:t>交通运输领域：积极开展安全检查工作，我局不定时不定点的抽查运输安全工作，运输企业进行随时随地的自查安全生产工作。通过自查和抽查相结合方式，突击性和针对性的检查相结合方式，开展了有针对性的安全隐患排查整治工作。</w:t>
      </w:r>
      <w:r>
        <w:rPr>
          <w:rFonts w:hint="eastAsia" w:ascii="仿宋" w:hAnsi="仿宋" w:eastAsia="仿宋" w:cs="仿宋"/>
          <w:b/>
          <w:sz w:val="30"/>
          <w:szCs w:val="30"/>
        </w:rPr>
        <w:t>一是</w:t>
      </w:r>
      <w:r>
        <w:rPr>
          <w:rFonts w:hint="eastAsia" w:ascii="仿宋" w:hAnsi="仿宋" w:eastAsia="仿宋" w:cs="仿宋"/>
          <w:sz w:val="30"/>
          <w:szCs w:val="30"/>
        </w:rPr>
        <w:t>进一步加大对公路隐患的排查力度，开展了辖区内道路、桥梁、隧道、涵洞、高边坡和安防设施的检查，强化自然灾害引发的各项安全事故预防措施落实。</w:t>
      </w:r>
      <w:r>
        <w:rPr>
          <w:rFonts w:hint="eastAsia" w:ascii="仿宋" w:hAnsi="仿宋" w:eastAsia="仿宋" w:cs="仿宋"/>
          <w:b/>
          <w:sz w:val="30"/>
          <w:szCs w:val="30"/>
        </w:rPr>
        <w:t>二是</w:t>
      </w:r>
      <w:r>
        <w:rPr>
          <w:rFonts w:hint="eastAsia" w:ascii="仿宋" w:hAnsi="仿宋" w:eastAsia="仿宋" w:cs="仿宋"/>
          <w:sz w:val="30"/>
          <w:szCs w:val="30"/>
        </w:rPr>
        <w:t>进一步强化日常道路检查，做好了“雨前、雨中、雨后”巡查，公路分局加强了公路应急抢险工作安全监管，重点抓好公路桥梁、隧道及病害路段施工安全管理，加强观测和预防。</w:t>
      </w:r>
      <w:r>
        <w:rPr>
          <w:rFonts w:hint="eastAsia" w:ascii="仿宋" w:hAnsi="仿宋" w:eastAsia="仿宋" w:cs="仿宋"/>
          <w:b/>
          <w:sz w:val="30"/>
          <w:szCs w:val="30"/>
        </w:rPr>
        <w:t>三是</w:t>
      </w:r>
      <w:r>
        <w:rPr>
          <w:rFonts w:hint="eastAsia" w:ascii="仿宋" w:hAnsi="仿宋" w:eastAsia="仿宋" w:cs="仿宋"/>
          <w:sz w:val="30"/>
          <w:szCs w:val="30"/>
        </w:rPr>
        <w:t>对因自然灾害造成的公路塌方、泥石流、路基缺口等危险源要及时进行抢修排险，对不能及时修复的路段要按规定设置醒目的警示标志标牌；同时要强化对公路的养护安全管理，对公路路面坑凼进行全面排查整治。</w:t>
      </w:r>
      <w:r>
        <w:rPr>
          <w:rFonts w:hint="eastAsia" w:ascii="仿宋" w:hAnsi="仿宋" w:eastAsia="仿宋" w:cs="仿宋"/>
          <w:b/>
          <w:sz w:val="30"/>
          <w:szCs w:val="30"/>
        </w:rPr>
        <w:t>四是</w:t>
      </w:r>
      <w:r>
        <w:rPr>
          <w:rFonts w:hint="eastAsia" w:ascii="仿宋" w:hAnsi="仿宋" w:eastAsia="仿宋" w:cs="仿宋"/>
          <w:sz w:val="30"/>
          <w:szCs w:val="30"/>
        </w:rPr>
        <w:t>严格落实“七不抢”要求，在确保抢险作业人员自身安全前提下开展抢通保通工作。切实加强缓堵保畅各项措施落实，细化应急预案及交通分流应急措施，加强路网运行监测，做好灾害天气预警预防和群众出行引导。</w:t>
      </w:r>
    </w:p>
    <w:p>
      <w:pPr>
        <w:spacing w:line="640" w:lineRule="exact"/>
        <w:ind w:firstLine="301" w:firstLineChars="100"/>
        <w:jc w:val="both"/>
        <w:outlineLvl w:val="0"/>
        <w:rPr>
          <w:rFonts w:ascii="仿宋" w:hAnsi="仿宋" w:eastAsia="仿宋" w:cs="仿宋"/>
          <w:b/>
          <w:bCs/>
          <w:sz w:val="30"/>
          <w:szCs w:val="30"/>
        </w:rPr>
      </w:pPr>
      <w:r>
        <w:rPr>
          <w:rFonts w:hint="eastAsia" w:ascii="仿宋" w:hAnsi="仿宋" w:eastAsia="仿宋" w:cs="仿宋"/>
          <w:b/>
          <w:bCs/>
          <w:sz w:val="30"/>
          <w:szCs w:val="30"/>
        </w:rPr>
        <w:t>(三)人员概况</w:t>
      </w:r>
    </w:p>
    <w:p>
      <w:pPr>
        <w:widowControl w:val="0"/>
        <w:autoSpaceDE w:val="0"/>
        <w:snapToGrid w:val="0"/>
        <w:spacing w:line="640" w:lineRule="exact"/>
        <w:ind w:firstLine="602" w:firstLineChars="200"/>
        <w:rPr>
          <w:rFonts w:ascii="仿宋" w:hAnsi="仿宋" w:eastAsia="仿宋" w:cs="仿宋"/>
          <w:color w:val="FF0000"/>
          <w:sz w:val="30"/>
          <w:szCs w:val="30"/>
        </w:rPr>
      </w:pPr>
      <w:r>
        <w:rPr>
          <w:rFonts w:hint="eastAsia" w:ascii="仿宋" w:hAnsi="仿宋" w:eastAsia="仿宋" w:cs="仿宋"/>
          <w:b/>
          <w:sz w:val="30"/>
          <w:szCs w:val="30"/>
        </w:rPr>
        <w:t>1、机构情况，</w:t>
      </w:r>
      <w:r>
        <w:rPr>
          <w:rFonts w:hint="eastAsia" w:ascii="仿宋" w:hAnsi="仿宋" w:eastAsia="仿宋" w:cs="仿宋"/>
          <w:sz w:val="30"/>
          <w:szCs w:val="30"/>
        </w:rPr>
        <w:t>黑水县交通局下属二级预算单位1个，其中行政单位 1个、事业单位1个。</w:t>
      </w:r>
      <w:r>
        <w:rPr>
          <w:rFonts w:hint="eastAsia" w:ascii="仿宋" w:hAnsi="仿宋" w:eastAsia="仿宋" w:cs="仿宋"/>
          <w:sz w:val="30"/>
          <w:szCs w:val="30"/>
        </w:rPr>
        <w:br w:type="textWrapping"/>
      </w:r>
      <w:r>
        <w:rPr>
          <w:rFonts w:hint="eastAsia" w:ascii="仿宋" w:hAnsi="仿宋" w:eastAsia="仿宋" w:cs="仿宋"/>
          <w:sz w:val="30"/>
          <w:szCs w:val="30"/>
        </w:rPr>
        <w:t xml:space="preserve">   </w:t>
      </w:r>
      <w:r>
        <w:rPr>
          <w:rFonts w:hint="eastAsia" w:ascii="仿宋" w:hAnsi="仿宋" w:eastAsia="仿宋" w:cs="仿宋"/>
          <w:color w:val="333333"/>
          <w:sz w:val="30"/>
          <w:szCs w:val="30"/>
        </w:rPr>
        <w:t xml:space="preserve"> 2</w:t>
      </w:r>
      <w:r>
        <w:rPr>
          <w:rFonts w:hint="eastAsia" w:ascii="仿宋" w:hAnsi="仿宋" w:eastAsia="仿宋" w:cs="仿宋"/>
          <w:b/>
          <w:sz w:val="30"/>
          <w:szCs w:val="30"/>
        </w:rPr>
        <w:t>、人员情况，</w:t>
      </w:r>
      <w:r>
        <w:rPr>
          <w:rFonts w:hint="eastAsia" w:ascii="仿宋" w:hAnsi="仿宋" w:eastAsia="仿宋" w:cs="仿宋"/>
          <w:sz w:val="30"/>
          <w:szCs w:val="30"/>
        </w:rPr>
        <w:t>202</w:t>
      </w:r>
      <w:r>
        <w:rPr>
          <w:rFonts w:hint="eastAsia" w:ascii="仿宋" w:hAnsi="仿宋" w:eastAsia="仿宋" w:cs="仿宋"/>
          <w:color w:val="000000" w:themeColor="text1"/>
          <w:sz w:val="30"/>
          <w:szCs w:val="30"/>
        </w:rPr>
        <w:t>人员情况，2021年编制人，其中：行政人员18人，参公事业人员0人，事业人员8人，2021年年末在职实有人数26人、离退休2名，退休人</w:t>
      </w:r>
      <w:r>
        <w:rPr>
          <w:rFonts w:hint="eastAsia" w:ascii="仿宋" w:hAnsi="仿宋" w:eastAsia="仿宋" w:cs="仿宋"/>
          <w:color w:val="333333"/>
          <w:sz w:val="30"/>
          <w:szCs w:val="30"/>
        </w:rPr>
        <w:t>员18名</w:t>
      </w:r>
      <w:r>
        <w:rPr>
          <w:rFonts w:hint="eastAsia" w:ascii="仿宋" w:hAnsi="仿宋" w:eastAsia="仿宋" w:cs="仿宋"/>
          <w:sz w:val="30"/>
          <w:szCs w:val="30"/>
        </w:rPr>
        <w:t>（新增退休人员1名）</w:t>
      </w:r>
      <w:r>
        <w:rPr>
          <w:rFonts w:hint="eastAsia" w:ascii="仿宋" w:hAnsi="仿宋" w:eastAsia="仿宋" w:cs="仿宋"/>
          <w:color w:val="333333"/>
          <w:sz w:val="30"/>
          <w:szCs w:val="30"/>
        </w:rPr>
        <w:t>。</w:t>
      </w:r>
    </w:p>
    <w:p>
      <w:pPr>
        <w:numPr>
          <w:ilvl w:val="0"/>
          <w:numId w:val="1"/>
        </w:num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评价工作开展情况</w:t>
      </w:r>
    </w:p>
    <w:p>
      <w:pPr>
        <w:spacing w:line="640" w:lineRule="exact"/>
        <w:ind w:left="480" w:leftChars="200"/>
        <w:jc w:val="both"/>
        <w:outlineLvl w:val="0"/>
        <w:rPr>
          <w:rFonts w:ascii="仿宋" w:hAnsi="仿宋" w:eastAsia="仿宋" w:cs="仿宋"/>
          <w:b/>
          <w:sz w:val="30"/>
          <w:szCs w:val="30"/>
        </w:rPr>
      </w:pPr>
      <w:r>
        <w:rPr>
          <w:rFonts w:hint="eastAsia" w:ascii="仿宋" w:hAnsi="仿宋" w:eastAsia="仿宋" w:cs="仿宋"/>
          <w:b/>
          <w:sz w:val="30"/>
          <w:szCs w:val="30"/>
        </w:rPr>
        <w:t>(一)评价目的</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通过开展部门整体支出绩效评价，促进部门从整体上提升预算绩效管理工作水平，强化部门支出责任，规范资金管理行为，提高财政资金使用效益，保障部门更好的履行职责。</w:t>
      </w:r>
    </w:p>
    <w:p>
      <w:pPr>
        <w:spacing w:line="640" w:lineRule="exact"/>
        <w:ind w:left="560"/>
        <w:jc w:val="both"/>
        <w:outlineLvl w:val="0"/>
        <w:rPr>
          <w:rFonts w:ascii="仿宋" w:hAnsi="仿宋" w:eastAsia="仿宋" w:cs="仿宋"/>
          <w:b/>
          <w:bCs/>
          <w:sz w:val="30"/>
          <w:szCs w:val="30"/>
        </w:rPr>
      </w:pPr>
      <w:r>
        <w:rPr>
          <w:rFonts w:hint="eastAsia" w:ascii="仿宋" w:hAnsi="仿宋" w:eastAsia="仿宋" w:cs="仿宋"/>
          <w:b/>
          <w:bCs/>
          <w:sz w:val="30"/>
          <w:szCs w:val="30"/>
        </w:rPr>
        <w:t>(二)绩效评价实施过程</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次绩效评价共分三个阶段，一是绩效评价准备。召开学习准备会，通过对财政预算绩效评价相关文件学习，制定实施方案，成立评价小组。二是绩效评价实施。严格按照规定组织实施绩效评价，查阅和收集有关数据资料，并进行认真分析，初步计算出各评价指标分值。三是绩效评价报告形成。通过对各项资料进行归纳整理，形成绩效评价报告。</w:t>
      </w:r>
    </w:p>
    <w:p>
      <w:pPr>
        <w:spacing w:line="640" w:lineRule="exact"/>
        <w:ind w:left="560"/>
        <w:jc w:val="both"/>
        <w:outlineLvl w:val="0"/>
        <w:rPr>
          <w:rFonts w:ascii="仿宋" w:hAnsi="仿宋" w:eastAsia="仿宋" w:cs="仿宋"/>
          <w:b/>
          <w:bCs/>
          <w:sz w:val="30"/>
          <w:szCs w:val="30"/>
        </w:rPr>
      </w:pPr>
      <w:r>
        <w:rPr>
          <w:rFonts w:hint="eastAsia" w:ascii="仿宋" w:hAnsi="仿宋" w:eastAsia="仿宋" w:cs="仿宋"/>
          <w:b/>
          <w:bCs/>
          <w:sz w:val="30"/>
          <w:szCs w:val="30"/>
        </w:rPr>
        <w:t>(三)总体评价结果</w:t>
      </w:r>
    </w:p>
    <w:p>
      <w:pPr>
        <w:spacing w:line="640" w:lineRule="exact"/>
        <w:ind w:firstLine="600" w:firstLineChars="200"/>
        <w:jc w:val="both"/>
        <w:outlineLvl w:val="1"/>
        <w:rPr>
          <w:rFonts w:ascii="仿宋" w:hAnsi="仿宋" w:eastAsia="仿宋" w:cs="仿宋"/>
          <w:sz w:val="28"/>
          <w:szCs w:val="28"/>
        </w:rPr>
      </w:pPr>
      <w:r>
        <w:rPr>
          <w:rFonts w:hint="eastAsia" w:ascii="仿宋" w:hAnsi="仿宋" w:eastAsia="仿宋" w:cs="仿宋"/>
          <w:sz w:val="30"/>
          <w:szCs w:val="30"/>
        </w:rPr>
        <w:t>按照部门预算管理、专项预算管理、绩效结果应用、自评质量四类指标，对部门(单位)预算资金支出行为过程及其效果进行综合评价和判断，评价预算执行的科学性、合理性和有效性，分析存在的问题，提出完善资金管理和项目管理的制度机制、调整支出结构相关建议，为年度预算编制提供参考依据，促进提高资金使用绩效。从总体上看，被单位基本上达到了财政资金支出预算的绩效目标，但部门预算管理及专项预算管理不够完善，本次绩效评价换成得分制总得分为86.93分。具体情况详见下表：</w:t>
      </w:r>
      <w:r>
        <w:rPr>
          <w:rFonts w:ascii="仿宋" w:hAnsi="仿宋" w:eastAsia="仿宋" w:cs="仿宋"/>
          <w:sz w:val="28"/>
          <w:szCs w:val="28"/>
        </w:rPr>
        <w:t xml:space="preserve"> </w:t>
      </w:r>
    </w:p>
    <w:tbl>
      <w:tblPr>
        <w:tblStyle w:val="6"/>
        <w:tblW w:w="9722" w:type="dxa"/>
        <w:tblInd w:w="0" w:type="dxa"/>
        <w:tblLayout w:type="fixed"/>
        <w:tblCellMar>
          <w:top w:w="0" w:type="dxa"/>
          <w:left w:w="108" w:type="dxa"/>
          <w:bottom w:w="0" w:type="dxa"/>
          <w:right w:w="108" w:type="dxa"/>
        </w:tblCellMar>
      </w:tblPr>
      <w:tblGrid>
        <w:gridCol w:w="949"/>
        <w:gridCol w:w="1136"/>
        <w:gridCol w:w="2958"/>
        <w:gridCol w:w="1180"/>
        <w:gridCol w:w="1229"/>
        <w:gridCol w:w="1252"/>
        <w:gridCol w:w="1018"/>
      </w:tblGrid>
      <w:tr>
        <w:tblPrEx>
          <w:tblCellMar>
            <w:top w:w="0" w:type="dxa"/>
            <w:left w:w="108" w:type="dxa"/>
            <w:bottom w:w="0" w:type="dxa"/>
            <w:right w:w="108" w:type="dxa"/>
          </w:tblCellMar>
        </w:tblPrEx>
        <w:trPr>
          <w:trHeight w:val="264" w:hRule="atLeast"/>
        </w:trPr>
        <w:tc>
          <w:tcPr>
            <w:tcW w:w="5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绩效指标</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w:t>
            </w:r>
            <w:r>
              <w:rPr>
                <w:rFonts w:hint="eastAsia" w:ascii="仿宋" w:hAnsi="仿宋" w:eastAsia="仿宋" w:cs="仿宋"/>
                <w:b/>
                <w:bCs/>
                <w:color w:val="000000"/>
                <w:sz w:val="28"/>
                <w:szCs w:val="28"/>
              </w:rPr>
              <w:br w:type="textWrapping"/>
            </w:r>
            <w:r>
              <w:rPr>
                <w:rFonts w:hint="eastAsia" w:ascii="仿宋" w:hAnsi="仿宋" w:eastAsia="仿宋" w:cs="仿宋"/>
                <w:b/>
                <w:bCs/>
                <w:color w:val="000000"/>
                <w:sz w:val="28"/>
                <w:szCs w:val="28"/>
              </w:rPr>
              <w:t>分值</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不计分</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得分</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扣分</w:t>
            </w:r>
          </w:p>
        </w:tc>
      </w:tr>
      <w:tr>
        <w:tblPrEx>
          <w:tblCellMar>
            <w:top w:w="0" w:type="dxa"/>
            <w:left w:w="108" w:type="dxa"/>
            <w:bottom w:w="0" w:type="dxa"/>
            <w:right w:w="108" w:type="dxa"/>
          </w:tblCellMar>
        </w:tblPrEx>
        <w:trPr>
          <w:trHeight w:val="264"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一级   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二级指标</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三级指标</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b/>
                <w:bCs/>
                <w:color w:val="000000"/>
                <w:sz w:val="28"/>
                <w:szCs w:val="28"/>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b/>
                <w:bCs/>
                <w:color w:val="000000"/>
                <w:sz w:val="28"/>
                <w:szCs w:val="28"/>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b/>
                <w:bCs/>
                <w:color w:val="000000"/>
                <w:sz w:val="28"/>
                <w:szCs w:val="28"/>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b/>
                <w:bCs/>
                <w:color w:val="000000"/>
                <w:sz w:val="28"/>
                <w:szCs w:val="28"/>
              </w:rPr>
            </w:pPr>
          </w:p>
        </w:tc>
      </w:tr>
      <w:tr>
        <w:tblPrEx>
          <w:tblCellMar>
            <w:top w:w="0" w:type="dxa"/>
            <w:left w:w="108" w:type="dxa"/>
            <w:bottom w:w="0" w:type="dxa"/>
            <w:right w:w="108" w:type="dxa"/>
          </w:tblCellMar>
        </w:tblPrEx>
        <w:trPr>
          <w:trHeight w:val="264" w:hRule="atLeast"/>
        </w:trPr>
        <w:tc>
          <w:tcPr>
            <w:tcW w:w="6223" w:type="dxa"/>
            <w:gridSpan w:val="4"/>
            <w:tcBorders>
              <w:top w:val="single" w:color="000000" w:sz="4" w:space="0"/>
              <w:left w:val="single" w:color="000000" w:sz="4" w:space="0"/>
              <w:bottom w:val="single" w:color="000000" w:sz="4" w:space="0"/>
              <w:right w:val="nil"/>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13.00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75.63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11.37</w:t>
            </w:r>
          </w:p>
        </w:tc>
      </w:tr>
      <w:tr>
        <w:tblPrEx>
          <w:tblCellMar>
            <w:top w:w="0" w:type="dxa"/>
            <w:left w:w="108" w:type="dxa"/>
            <w:bottom w:w="0" w:type="dxa"/>
            <w:right w:w="108" w:type="dxa"/>
          </w:tblCellMar>
        </w:tblPrEx>
        <w:trPr>
          <w:trHeight w:val="264"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部门预算管理(60分)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预算编制(24分)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目标制定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目标实现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编制准确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预算执行(20分)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支出控制</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动态调整</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38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执行进度-6月预算执行情况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1.34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0.66 </w:t>
            </w:r>
          </w:p>
        </w:tc>
      </w:tr>
      <w:tr>
        <w:tblPrEx>
          <w:tblCellMar>
            <w:top w:w="0" w:type="dxa"/>
            <w:left w:w="108" w:type="dxa"/>
            <w:bottom w:w="0" w:type="dxa"/>
            <w:right w:w="108" w:type="dxa"/>
          </w:tblCellMar>
        </w:tblPrEx>
        <w:trPr>
          <w:trHeight w:val="4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执行进度-9月预算执行情况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0.96</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1.04 </w:t>
            </w:r>
          </w:p>
        </w:tc>
      </w:tr>
      <w:tr>
        <w:tblPrEx>
          <w:tblCellMar>
            <w:top w:w="0" w:type="dxa"/>
            <w:left w:w="108" w:type="dxa"/>
            <w:bottom w:w="0" w:type="dxa"/>
            <w:right w:w="108" w:type="dxa"/>
          </w:tblCellMar>
        </w:tblPrEx>
        <w:trPr>
          <w:trHeight w:val="4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执行进度-11月预算执行情况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1.33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0.67</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完成结果(16分)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预算完成</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违规记录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8.00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专项预算管理(20分)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项目决策(8分)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程序严密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规划合理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结果符合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0.00</w:t>
            </w:r>
          </w:p>
        </w:tc>
      </w:tr>
      <w:tr>
        <w:tblPrEx>
          <w:tblCellMar>
            <w:top w:w="0" w:type="dxa"/>
            <w:left w:w="108" w:type="dxa"/>
            <w:bottom w:w="0" w:type="dxa"/>
            <w:right w:w="108" w:type="dxa"/>
          </w:tblCellMar>
        </w:tblPrEx>
        <w:trPr>
          <w:trHeight w:val="264"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项目实施(4分)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分配科学</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80"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分配(支付)及时</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80"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完成结果(8分)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预算完成-资金拨付</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80"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预算完成-规范实施</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实施绩效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20" w:hRule="atLeast"/>
        </w:trPr>
        <w:tc>
          <w:tcPr>
            <w:tcW w:w="949"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违规记录-监督部门检查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8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绩效结果应用(10分)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信息公开(2分)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自评公开</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整改反馈(8分)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结果整改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4.00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4.00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应用反馈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4.00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4.00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48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自评    质量   (10分)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自评质量(10分)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自评准确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rPr>
                <w:rFonts w:ascii="仿宋" w:hAnsi="仿宋" w:eastAsia="仿宋" w:cs="仿宋"/>
                <w:color w:val="000000"/>
                <w:sz w:val="28"/>
                <w:szCs w:val="2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0.00 </w:t>
            </w:r>
          </w:p>
        </w:tc>
      </w:tr>
      <w:tr>
        <w:tblPrEx>
          <w:tblCellMar>
            <w:top w:w="0" w:type="dxa"/>
            <w:left w:w="108" w:type="dxa"/>
            <w:bottom w:w="0" w:type="dxa"/>
            <w:right w:w="108" w:type="dxa"/>
          </w:tblCellMar>
        </w:tblPrEx>
        <w:trPr>
          <w:trHeight w:val="264" w:hRule="atLeast"/>
        </w:trPr>
        <w:tc>
          <w:tcPr>
            <w:tcW w:w="5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部门评价总分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 xml:space="preserve">100.00 </w:t>
            </w:r>
          </w:p>
        </w:tc>
        <w:tc>
          <w:tcPr>
            <w:tcW w:w="3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86.93</w:t>
            </w:r>
          </w:p>
        </w:tc>
      </w:tr>
    </w:tbl>
    <w:p>
      <w:pPr>
        <w:spacing w:line="640" w:lineRule="exact"/>
        <w:ind w:firstLine="562" w:firstLineChars="200"/>
        <w:jc w:val="both"/>
        <w:outlineLvl w:val="0"/>
        <w:rPr>
          <w:rFonts w:ascii="仿宋" w:hAnsi="仿宋" w:eastAsia="仿宋" w:cs="仿宋"/>
          <w:b/>
          <w:bCs/>
          <w:sz w:val="28"/>
          <w:szCs w:val="28"/>
        </w:rPr>
      </w:pP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三、部门财政资金收支情况</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(一)部门财政资金收入情况</w:t>
      </w:r>
    </w:p>
    <w:p>
      <w:pPr>
        <w:spacing w:line="640" w:lineRule="exact"/>
        <w:ind w:firstLine="640"/>
        <w:jc w:val="both"/>
        <w:outlineLvl w:val="0"/>
        <w:rPr>
          <w:rFonts w:ascii="仿宋" w:hAnsi="仿宋" w:eastAsia="仿宋" w:cs="仿宋"/>
          <w:sz w:val="30"/>
          <w:szCs w:val="30"/>
        </w:rPr>
      </w:pPr>
      <w:r>
        <w:rPr>
          <w:rFonts w:hint="eastAsia" w:ascii="仿宋" w:hAnsi="仿宋" w:eastAsia="仿宋" w:cs="仿宋"/>
          <w:sz w:val="30"/>
          <w:szCs w:val="30"/>
        </w:rPr>
        <w:t>2021年黑水县交通局财政拨款收入6880.43万元，其中财政拨款收入6878.45万元，政府性基金预算财政拨款收入1.98万元，上年财政拨款结转和结余6607.52万元。</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(二)部门财政资金支出情况</w:t>
      </w:r>
    </w:p>
    <w:p>
      <w:pPr>
        <w:spacing w:line="640" w:lineRule="exact"/>
        <w:ind w:firstLine="600" w:firstLineChars="200"/>
        <w:jc w:val="both"/>
        <w:outlineLvl w:val="0"/>
        <w:rPr>
          <w:rFonts w:ascii="仿宋" w:hAnsi="仿宋" w:eastAsia="仿宋" w:cs="仿宋"/>
          <w:bCs/>
          <w:sz w:val="30"/>
          <w:szCs w:val="30"/>
        </w:rPr>
      </w:pPr>
      <w:r>
        <w:rPr>
          <w:rFonts w:hint="eastAsia" w:ascii="仿宋" w:hAnsi="仿宋" w:eastAsia="仿宋" w:cs="仿宋"/>
          <w:bCs/>
          <w:sz w:val="30"/>
          <w:szCs w:val="30"/>
        </w:rPr>
        <w:t>2021年</w:t>
      </w:r>
      <w:r>
        <w:rPr>
          <w:rFonts w:hint="eastAsia" w:ascii="仿宋" w:hAnsi="仿宋" w:eastAsia="仿宋" w:cs="仿宋"/>
          <w:sz w:val="30"/>
          <w:szCs w:val="30"/>
        </w:rPr>
        <w:t>本单位</w:t>
      </w:r>
      <w:r>
        <w:rPr>
          <w:rFonts w:hint="eastAsia" w:ascii="仿宋" w:hAnsi="仿宋" w:eastAsia="仿宋" w:cs="仿宋"/>
          <w:bCs/>
          <w:sz w:val="30"/>
          <w:szCs w:val="30"/>
        </w:rPr>
        <w:t>支出13487.95万元，其中：人员经费585.99万元、日常公用经费125.57万元、项目支出12776.39万元。</w:t>
      </w:r>
    </w:p>
    <w:p>
      <w:pPr>
        <w:spacing w:line="640" w:lineRule="exact"/>
        <w:ind w:firstLine="602" w:firstLineChars="200"/>
        <w:jc w:val="both"/>
        <w:outlineLvl w:val="0"/>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(三)结转结余情况</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2021年年初财政拨款结转和结余6607.82万元，年末无结转结余。</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四、部门财政支出管理情况</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(一)部门预算管理</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1.预算编制</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(1)目标制定</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 xml:space="preserve">2021年按照省、州、县级部门预算编制通知和有关要求，及时完成基础库、项目库报送工作。   </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部门整体支出预算为523.27万元。其中:基本支出523.27万元，无项目支出。其中按支出项目分类，预算支出中含支出包括:交通运输支出385.15万元，社会保障和就业支出62.72万元，卫生健康支出33.78万元，住房保障支出41.62万元;按年度主要任务分类，人员经费407.27万元,主要包括:基本工资、津贴补贴、奖金、绩效工资、机关事业单位基本养老保险缴费、职业基本医疗保险缴费、公务员医疗补助缴费、其他社会保障缴费、住房公积金。公用经费116万元,主要包括:办公费、水费、电费、邮电费、差旅费、维修(护)费、培训费、公务接待费、劳务费、公务用运行维护费。</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总体评价：</w:t>
      </w:r>
      <w:r>
        <w:rPr>
          <w:rFonts w:hint="eastAsia" w:ascii="仿宋" w:hAnsi="仿宋" w:eastAsia="仿宋" w:cs="仿宋"/>
          <w:sz w:val="30"/>
          <w:szCs w:val="30"/>
        </w:rPr>
        <w:t>被单位按时完成了2021年基础库、项目库报送工作，2021年项目支出按要求从项目完成、项目效益、满意度等编制了绩效目标，编制要素完整，对绩效目标进行量化细化。</w:t>
      </w:r>
    </w:p>
    <w:p>
      <w:pPr>
        <w:spacing w:line="64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(2)目标实现</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本单位《2021年部门预算》部门整体支出绩效目标申报表，被单位2021年主要任务如下：</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任务一：保障人员经费(工资性支出，社会保障缴费，住房公积金，体检费，独生子女奖励费，遗属补助)，预算金额407.27万元；</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任务二：定额公用经费(日常公用经费或保障性公用经费)，预算金额116万元。</w:t>
      </w:r>
    </w:p>
    <w:p>
      <w:pPr>
        <w:spacing w:line="640" w:lineRule="exact"/>
        <w:ind w:firstLine="600" w:firstLineChars="200"/>
        <w:jc w:val="both"/>
        <w:rPr>
          <w:rFonts w:ascii="仿宋" w:hAnsi="仿宋" w:eastAsia="仿宋" w:cs="仿宋"/>
          <w:color w:val="000000" w:themeColor="text1"/>
          <w:sz w:val="30"/>
          <w:szCs w:val="30"/>
        </w:rPr>
      </w:pPr>
      <w:r>
        <w:rPr>
          <w:rFonts w:hint="eastAsia" w:ascii="仿宋" w:hAnsi="仿宋" w:eastAsia="仿宋" w:cs="仿宋"/>
          <w:sz w:val="30"/>
          <w:szCs w:val="30"/>
        </w:rPr>
        <w:t>本单位《2021年部门决算》，2021年财政资金总支出为支出13487.95万元，一般公共预算财政拨款基本支出711.55万元，一般公共预算财政拨款项目支出12776.39元。</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(3)编制准确</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1)预算编制准确</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1.预算编制准确</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单位《2021年部门预算》，年初一般公共预算财政拨款收入523.27万元。根据单位《2021年部门决算》，2021年一般公共预算财政拨款收入调整预算数6878.45万元，政府性基金预算财政拨款收入1.98万元，小计6880.43万元，其中含项目支出6263.58万元，基本支出614.87万元，比预算实际增加6357.16万元。</w:t>
      </w:r>
    </w:p>
    <w:p>
      <w:pPr>
        <w:spacing w:line="64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2.预算执行</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(1)支出控制</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本单位《2021年部门预算》，部门日常公用经费、项目支出中“办公费、印刷费、水费、电费、物业管理费”等科目年初预算数共计116万元。</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根据本单位《2021年部门决算》，部门日常公用经费、项目支出中“办公费、印刷费、水费、电费、物业管理费”等科目年初预算数共计125.57万元，年初预算数、决算数明细及偏差额、偏差率如下表：</w:t>
      </w:r>
    </w:p>
    <w:p>
      <w:pPr>
        <w:spacing w:line="48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09"/>
        <w:gridCol w:w="1123"/>
        <w:gridCol w:w="1123"/>
        <w:gridCol w:w="112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909"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项目</w:t>
            </w:r>
          </w:p>
        </w:tc>
        <w:tc>
          <w:tcPr>
            <w:tcW w:w="1123"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预算数</w:t>
            </w:r>
          </w:p>
        </w:tc>
        <w:tc>
          <w:tcPr>
            <w:tcW w:w="1123"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决算数</w:t>
            </w:r>
          </w:p>
        </w:tc>
        <w:tc>
          <w:tcPr>
            <w:tcW w:w="1123"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偏差额</w:t>
            </w:r>
          </w:p>
        </w:tc>
        <w:tc>
          <w:tcPr>
            <w:tcW w:w="1418"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办公费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27.79</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40.58</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12.79</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水费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0.18</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0.00</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-0.18</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电费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2.76</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3.8</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1.04</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邮电费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5.12</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1.32</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-3.8</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差旅费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25.85</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28.65</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2.8</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培训费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1.28</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1.33</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0.05</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委托业务费</w:t>
            </w:r>
          </w:p>
        </w:tc>
        <w:tc>
          <w:tcPr>
            <w:tcW w:w="1123" w:type="dxa"/>
          </w:tcPr>
          <w:p>
            <w:pPr>
              <w:spacing w:line="480" w:lineRule="exact"/>
              <w:jc w:val="right"/>
              <w:textAlignment w:val="center"/>
              <w:rPr>
                <w:rFonts w:ascii="仿宋" w:hAnsi="仿宋" w:eastAsia="仿宋" w:cs="仿宋"/>
                <w:color w:val="000000"/>
                <w:sz w:val="28"/>
                <w:szCs w:val="28"/>
              </w:rPr>
            </w:pP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7.5</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7.5</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公务接待费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4.09</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3.37</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-0.72</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劳务费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0.6</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14.78</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14.18</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2363.33%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其他商品和服务支出</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25.83</w:t>
            </w:r>
          </w:p>
        </w:tc>
        <w:tc>
          <w:tcPr>
            <w:tcW w:w="1123" w:type="dxa"/>
          </w:tcPr>
          <w:p>
            <w:pPr>
              <w:spacing w:line="480" w:lineRule="exact"/>
              <w:jc w:val="right"/>
              <w:textAlignment w:val="center"/>
              <w:rPr>
                <w:rFonts w:ascii="仿宋" w:hAnsi="仿宋" w:eastAsia="仿宋" w:cs="仿宋"/>
                <w:color w:val="000000"/>
                <w:sz w:val="28"/>
                <w:szCs w:val="28"/>
              </w:rPr>
            </w:pP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-25.83</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公务用车运行维护费</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22.5</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24.3</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826" w:type="dxa"/>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2909" w:type="dxa"/>
          </w:tcPr>
          <w:p>
            <w:pPr>
              <w:spacing w:line="480" w:lineRule="exact"/>
              <w:textAlignment w:val="center"/>
              <w:rPr>
                <w:rFonts w:ascii="仿宋" w:hAnsi="仿宋" w:eastAsia="仿宋" w:cs="仿宋"/>
                <w:color w:val="000000"/>
                <w:sz w:val="28"/>
                <w:szCs w:val="28"/>
              </w:rPr>
            </w:pPr>
            <w:r>
              <w:rPr>
                <w:rFonts w:hint="eastAsia" w:ascii="仿宋" w:hAnsi="仿宋" w:eastAsia="仿宋" w:cs="仿宋"/>
                <w:color w:val="000000"/>
                <w:sz w:val="28"/>
                <w:szCs w:val="28"/>
              </w:rPr>
              <w:t>维修（护）费</w:t>
            </w:r>
          </w:p>
        </w:tc>
        <w:tc>
          <w:tcPr>
            <w:tcW w:w="1123" w:type="dxa"/>
          </w:tcPr>
          <w:p>
            <w:pPr>
              <w:spacing w:line="480" w:lineRule="exact"/>
              <w:jc w:val="right"/>
              <w:textAlignment w:val="center"/>
              <w:rPr>
                <w:rFonts w:ascii="仿宋" w:hAnsi="仿宋" w:eastAsia="仿宋" w:cs="仿宋"/>
                <w:color w:val="000000"/>
                <w:sz w:val="28"/>
                <w:szCs w:val="28"/>
              </w:rPr>
            </w:pP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0.12</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0.12</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3735" w:type="dxa"/>
            <w:gridSpan w:val="2"/>
          </w:tcPr>
          <w:p>
            <w:pPr>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116</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125.57</w:t>
            </w:r>
          </w:p>
        </w:tc>
        <w:tc>
          <w:tcPr>
            <w:tcW w:w="1123"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9.57</w:t>
            </w:r>
          </w:p>
        </w:tc>
        <w:tc>
          <w:tcPr>
            <w:tcW w:w="1418" w:type="dxa"/>
          </w:tcPr>
          <w:p>
            <w:pPr>
              <w:spacing w:line="48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8.25%</w:t>
            </w:r>
          </w:p>
        </w:tc>
      </w:tr>
    </w:tbl>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综上，本单位部门日常公用经费、支出中“办公费、印刷费、水费、电费、物业管理费”等科目年初预算数、与决算数相比，综合偏差率为8.25%。</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(2)动态调整</w:t>
      </w:r>
    </w:p>
    <w:p>
      <w:pPr>
        <w:spacing w:line="640" w:lineRule="exact"/>
        <w:jc w:val="both"/>
        <w:rPr>
          <w:rFonts w:ascii="仿宋" w:hAnsi="仿宋" w:eastAsia="仿宋" w:cs="仿宋"/>
          <w:sz w:val="30"/>
          <w:szCs w:val="30"/>
        </w:rPr>
      </w:pPr>
      <w:r>
        <w:rPr>
          <w:rFonts w:hint="eastAsia" w:ascii="仿宋" w:hAnsi="仿宋" w:eastAsia="仿宋" w:cs="仿宋"/>
          <w:sz w:val="30"/>
          <w:szCs w:val="30"/>
        </w:rPr>
        <w:t xml:space="preserve">    单位2021年度无绩效监控调整取消额、2021年度无结余注销额，根据指标体系, 当部门绩效监控调整取消额与结余注销额之和为零。</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(3)执行进度</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单位2021年度账面支出按季度分明细如下表:</w:t>
      </w:r>
    </w:p>
    <w:p>
      <w:pPr>
        <w:spacing w:line="640" w:lineRule="exact"/>
        <w:ind w:left="480" w:leftChars="200"/>
        <w:jc w:val="right"/>
        <w:rPr>
          <w:rFonts w:ascii="仿宋" w:hAnsi="仿宋" w:eastAsia="仿宋" w:cs="仿宋"/>
          <w:sz w:val="28"/>
          <w:szCs w:val="28"/>
        </w:rPr>
      </w:pPr>
      <w:r>
        <w:rPr>
          <w:rFonts w:hint="eastAsia" w:ascii="仿宋" w:hAnsi="仿宋" w:eastAsia="仿宋" w:cs="仿宋"/>
          <w:sz w:val="28"/>
          <w:szCs w:val="28"/>
        </w:rPr>
        <w:t>单位：万元</w:t>
      </w:r>
    </w:p>
    <w:tbl>
      <w:tblPr>
        <w:tblStyle w:val="6"/>
        <w:tblW w:w="8519" w:type="dxa"/>
        <w:tblInd w:w="0" w:type="dxa"/>
        <w:tblLayout w:type="fixed"/>
        <w:tblCellMar>
          <w:top w:w="0" w:type="dxa"/>
          <w:left w:w="108" w:type="dxa"/>
          <w:bottom w:w="0" w:type="dxa"/>
          <w:right w:w="108" w:type="dxa"/>
        </w:tblCellMar>
      </w:tblPr>
      <w:tblGrid>
        <w:gridCol w:w="993"/>
        <w:gridCol w:w="1393"/>
        <w:gridCol w:w="1505"/>
        <w:gridCol w:w="1505"/>
        <w:gridCol w:w="1505"/>
        <w:gridCol w:w="1618"/>
      </w:tblGrid>
      <w:tr>
        <w:tblPrEx>
          <w:tblCellMar>
            <w:top w:w="0" w:type="dxa"/>
            <w:left w:w="108" w:type="dxa"/>
            <w:bottom w:w="0" w:type="dxa"/>
            <w:right w:w="108" w:type="dxa"/>
          </w:tblCellMar>
        </w:tblPrEx>
        <w:trPr>
          <w:trHeight w:val="28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项目</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1-3月</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4-6月</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7-9月</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10-12月</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r>
      <w:tr>
        <w:tblPrEx>
          <w:tblCellMar>
            <w:top w:w="0" w:type="dxa"/>
            <w:left w:w="108" w:type="dxa"/>
            <w:bottom w:w="0" w:type="dxa"/>
            <w:right w:w="108" w:type="dxa"/>
          </w:tblCellMar>
        </w:tblPrEx>
        <w:trPr>
          <w:trHeight w:val="28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行政支出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1420.63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2112.88</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748.91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9041.62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13324.04</w:t>
            </w:r>
          </w:p>
        </w:tc>
      </w:tr>
      <w:tr>
        <w:tblPrEx>
          <w:tblCellMar>
            <w:top w:w="0" w:type="dxa"/>
            <w:left w:w="108" w:type="dxa"/>
            <w:bottom w:w="0" w:type="dxa"/>
            <w:right w:w="108" w:type="dxa"/>
          </w:tblCellMar>
        </w:tblPrEx>
        <w:trPr>
          <w:trHeight w:val="28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事业支出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52.16</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29.07</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27.44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55.24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163.91</w:t>
            </w:r>
          </w:p>
        </w:tc>
      </w:tr>
      <w:tr>
        <w:tblPrEx>
          <w:tblCellMar>
            <w:top w:w="0" w:type="dxa"/>
            <w:left w:w="108" w:type="dxa"/>
            <w:bottom w:w="0" w:type="dxa"/>
            <w:right w:w="108" w:type="dxa"/>
          </w:tblCellMar>
        </w:tblPrEx>
        <w:trPr>
          <w:trHeight w:val="28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1472.79</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2141.95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776.35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9096.85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right"/>
              <w:textAlignment w:val="center"/>
              <w:rPr>
                <w:rFonts w:ascii="仿宋" w:hAnsi="仿宋" w:eastAsia="仿宋" w:cs="仿宋"/>
                <w:color w:val="000000"/>
                <w:sz w:val="28"/>
                <w:szCs w:val="28"/>
              </w:rPr>
            </w:pPr>
            <w:r>
              <w:rPr>
                <w:rFonts w:hint="eastAsia" w:ascii="仿宋" w:hAnsi="仿宋" w:eastAsia="仿宋" w:cs="仿宋"/>
                <w:color w:val="000000"/>
                <w:sz w:val="28"/>
                <w:szCs w:val="28"/>
              </w:rPr>
              <w:t>13487.95</w:t>
            </w:r>
          </w:p>
        </w:tc>
      </w:tr>
    </w:tbl>
    <w:p>
      <w:pPr>
        <w:spacing w:line="640" w:lineRule="exact"/>
        <w:ind w:left="480" w:leftChars="200"/>
        <w:rPr>
          <w:rFonts w:ascii="仿宋" w:hAnsi="仿宋" w:eastAsia="仿宋" w:cs="仿宋"/>
          <w:sz w:val="28"/>
          <w:szCs w:val="28"/>
        </w:rPr>
      </w:pPr>
    </w:p>
    <w:p>
      <w:pPr>
        <w:spacing w:line="640" w:lineRule="exact"/>
        <w:ind w:left="480" w:leftChars="200"/>
        <w:rPr>
          <w:rFonts w:ascii="仿宋" w:hAnsi="仿宋" w:eastAsia="仿宋" w:cs="仿宋"/>
          <w:sz w:val="28"/>
          <w:szCs w:val="28"/>
        </w:rPr>
      </w:pPr>
      <w:r>
        <w:rPr>
          <w:rFonts w:hint="eastAsia" w:ascii="仿宋" w:hAnsi="仿宋" w:eastAsia="仿宋" w:cs="仿宋"/>
          <w:sz w:val="28"/>
          <w:szCs w:val="28"/>
        </w:rPr>
        <w:t>单位在2021年6、9、11月的实际支付率如下表：</w:t>
      </w:r>
    </w:p>
    <w:p>
      <w:pPr>
        <w:spacing w:line="640" w:lineRule="exact"/>
        <w:ind w:left="480" w:leftChars="200"/>
        <w:jc w:val="right"/>
        <w:rPr>
          <w:rFonts w:ascii="仿宋" w:hAnsi="仿宋" w:eastAsia="仿宋" w:cs="仿宋"/>
          <w:sz w:val="28"/>
          <w:szCs w:val="28"/>
          <w:highlight w:val="yellow"/>
        </w:rPr>
      </w:pPr>
      <w:r>
        <w:rPr>
          <w:rFonts w:hint="eastAsia" w:ascii="仿宋" w:hAnsi="仿宋" w:eastAsia="仿宋" w:cs="仿宋"/>
          <w:sz w:val="28"/>
          <w:szCs w:val="28"/>
        </w:rPr>
        <w:t>单位:万元</w:t>
      </w:r>
    </w:p>
    <w:tbl>
      <w:tblPr>
        <w:tblStyle w:val="6"/>
        <w:tblW w:w="9586" w:type="dxa"/>
        <w:tblInd w:w="0" w:type="dxa"/>
        <w:tblLayout w:type="fixed"/>
        <w:tblCellMar>
          <w:top w:w="0" w:type="dxa"/>
          <w:left w:w="108" w:type="dxa"/>
          <w:bottom w:w="0" w:type="dxa"/>
          <w:right w:w="108" w:type="dxa"/>
        </w:tblCellMar>
      </w:tblPr>
      <w:tblGrid>
        <w:gridCol w:w="1126"/>
        <w:gridCol w:w="3240"/>
        <w:gridCol w:w="3375"/>
        <w:gridCol w:w="1845"/>
      </w:tblGrid>
      <w:tr>
        <w:tblPrEx>
          <w:tblCellMar>
            <w:top w:w="0" w:type="dxa"/>
            <w:left w:w="108" w:type="dxa"/>
            <w:bottom w:w="0" w:type="dxa"/>
            <w:right w:w="108" w:type="dxa"/>
          </w:tblCellMar>
        </w:tblPrEx>
        <w:trPr>
          <w:trHeight w:val="288"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时点</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实际累计支出金额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实际支出进度</w:t>
            </w:r>
          </w:p>
        </w:tc>
      </w:tr>
      <w:tr>
        <w:tblPrEx>
          <w:tblCellMar>
            <w:top w:w="0" w:type="dxa"/>
            <w:left w:w="108" w:type="dxa"/>
            <w:bottom w:w="0" w:type="dxa"/>
            <w:right w:w="108" w:type="dxa"/>
          </w:tblCellMar>
        </w:tblPrEx>
        <w:trPr>
          <w:trHeight w:val="288"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2021年6月30日</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3614.74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26.8%</w:t>
            </w:r>
          </w:p>
        </w:tc>
      </w:tr>
      <w:tr>
        <w:tblPrEx>
          <w:tblCellMar>
            <w:top w:w="0" w:type="dxa"/>
            <w:left w:w="108" w:type="dxa"/>
            <w:bottom w:w="0" w:type="dxa"/>
            <w:right w:w="108" w:type="dxa"/>
          </w:tblCellMar>
        </w:tblPrEx>
        <w:trPr>
          <w:trHeight w:val="288"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2021年9月30日</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4391.11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32.56%</w:t>
            </w:r>
          </w:p>
        </w:tc>
      </w:tr>
      <w:tr>
        <w:tblPrEx>
          <w:tblCellMar>
            <w:top w:w="0" w:type="dxa"/>
            <w:left w:w="108" w:type="dxa"/>
            <w:bottom w:w="0" w:type="dxa"/>
            <w:right w:w="108" w:type="dxa"/>
          </w:tblCellMar>
        </w:tblPrEx>
        <w:trPr>
          <w:trHeight w:val="288"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2021年11月30日</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7402.28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54.88%</w:t>
            </w:r>
          </w:p>
        </w:tc>
      </w:tr>
    </w:tbl>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2021年6月应达到的实际支出进度为40%。至2021年6月30日，单位实际累计支出金额3614.74万元，实际支出进度为26.8%；</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2021年9月应达到的实际支出进度为67.50%。至2021年9月30日，单位实际累计支出金额4391.11万元，实际支出进度为实际为32.56%;</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2021年11月应达到的实际支出进度为82.5%。至2021年11月30日，单位实际累计支出金额7402.28万元，实际支出进度为实际为实际为54.88%。</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3.完成结果</w:t>
      </w:r>
    </w:p>
    <w:p>
      <w:pPr>
        <w:spacing w:line="64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rPr>
        <w:t>(1)预算完成</w:t>
      </w:r>
    </w:p>
    <w:p>
      <w:pPr>
        <w:spacing w:line="640" w:lineRule="exact"/>
        <w:jc w:val="both"/>
        <w:rPr>
          <w:rFonts w:ascii="仿宋" w:hAnsi="仿宋" w:eastAsia="仿宋" w:cs="仿宋"/>
          <w:sz w:val="30"/>
          <w:szCs w:val="30"/>
        </w:rPr>
      </w:pPr>
      <w:r>
        <w:rPr>
          <w:rFonts w:hint="eastAsia" w:ascii="仿宋" w:hAnsi="仿宋" w:eastAsia="仿宋" w:cs="仿宋"/>
          <w:sz w:val="30"/>
          <w:szCs w:val="30"/>
        </w:rPr>
        <w:t xml:space="preserve">   根据单位年初绩效目标，2021年度未申报专项项目。根据项目调整，2021年度实际增加37个项目，其中主要包括：2020年黑水县奶子沟景区绿道及附属工程、知木林养护专项占用补偿、乡村振兴沙石多村组道路及桥梁、2019年-2020年交通定点扶贫、三奥雪山旅游基础设施建设、红色旅游芦花会址建设工程、2020年黑水县村组道安保工程、修复加固工程、旅游管理（马河坝、银针）村道、“四好农村公路”建设、乡村客运可持续发展补助、省级交通应急补助等。</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截至2021年12月31日，纳入绩效目标管理的部门预算项目共计完成37个。根据单位《2021年部门决算》，2021年项目收入合计6265.56万元其中：一般公共预算财政拨款项目支出为6263.58万元，政府性基金预算财政拨款项目支出为1.98万元</w:t>
      </w:r>
    </w:p>
    <w:p>
      <w:pPr>
        <w:spacing w:line="640" w:lineRule="exact"/>
        <w:ind w:firstLine="600" w:firstLineChars="200"/>
        <w:jc w:val="both"/>
        <w:rPr>
          <w:rFonts w:ascii="仿宋" w:hAnsi="仿宋" w:eastAsia="仿宋" w:cs="仿宋"/>
          <w:color w:val="FF0000"/>
          <w:sz w:val="30"/>
          <w:szCs w:val="30"/>
        </w:rPr>
      </w:pPr>
      <w:r>
        <w:rPr>
          <w:rFonts w:hint="eastAsia" w:ascii="仿宋" w:hAnsi="仿宋" w:eastAsia="仿宋" w:cs="仿宋"/>
          <w:sz w:val="30"/>
          <w:szCs w:val="30"/>
        </w:rPr>
        <w:t>2021年项目支出12776.39万元其中：一般公共预算财政拨款项目支出为12665.37万元，政府性基金预算财政拨款项目支出为111.03万元。</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(二)专项预算管理</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1.项目决策</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(1)程序严密</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根据项目调整，2021年度实际增加37个项目，其中主要包括：2020年黑水县奶子沟景区绿道及附属工程、知木林养护专项占用补偿、乡村振兴沙石多村组道路及桥梁、2019年-2020年交通定点扶贫、三奥雪山旅游基础设施建设、红色旅游芦花会址建设工程、2020年黑水县村组道安保工程、修复加固工程、2021年旅游管理（马河坝、银针）村道、“四好农村公路”建设、乡村客运可持续发展补助、省级交通应急补助等</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本单位专项项目在设立时均经过事情绩效评估或可行性论证；专项项目管理办法健全。</w:t>
      </w:r>
    </w:p>
    <w:p>
      <w:pPr>
        <w:spacing w:line="64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(2)规划合理</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单位2021年专项项目制定了中长期规划，其项目规划符合省委、省政府重大决策部署和宏观政策，年度绩效目标与专项中长期规划一致。</w:t>
      </w:r>
    </w:p>
    <w:p>
      <w:pPr>
        <w:spacing w:line="640" w:lineRule="exact"/>
        <w:ind w:firstLine="602" w:firstLineChars="200"/>
        <w:jc w:val="both"/>
        <w:rPr>
          <w:rFonts w:ascii="仿宋" w:hAnsi="仿宋" w:eastAsia="仿宋" w:cs="仿宋"/>
          <w:b/>
          <w:bCs/>
          <w:sz w:val="30"/>
          <w:szCs w:val="30"/>
        </w:rPr>
      </w:pPr>
      <w:r>
        <w:rPr>
          <w:rFonts w:hint="eastAsia" w:ascii="仿宋" w:hAnsi="仿宋" w:eastAsia="仿宋" w:cs="仿宋"/>
          <w:b/>
          <w:bCs/>
          <w:sz w:val="30"/>
          <w:szCs w:val="30"/>
        </w:rPr>
        <w:t>(3)结果符合</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截至2021年12月31日，单位共计完成专项项目37个，2021年项目收入合计6263.58万元，一般公共预算财政拨款项目支出为12665.37万元，政府性基金预算财政拨款项目支出为111.03万元，经取样抽查相关项目支付凭证，未发现不符合实施结果规划的资金支付。</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2.项目实施</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(1)分配科学</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经检查，单位2021年项目分配选取了科学的绩效分配方法，专项项目均进行了科学的可行性研究等相关工作，专项项目均进行了合理合规的立项程序，专项项目基础数据真实，测算精准。</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(2)分配及时</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经检查，2021年项目收入合计6263.58万元，项目支出12776.39万元：一般公共预算财政拨款项目支出为12665.37万元，政府性基金预算财政拨款项目支出为111.03万元。单位根据专项项目实际完工进度，各专项项目均按照与项目承建单位签订的施工合同进行款项支付。具体支付流程为：专项项目进度达标经监理、业主单位签字后的《请款单》，报县财政局相关股室核准后，由黑水县国库支付中心进行款项支付。</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(1)预算完成-资金拨付</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2021年项目收入合计6263.58万元，一般公共预算财政拨款项目支出为12665.37万元。专项资金预算完成-资金拨付率=已支付项目资金/下达资金=12665.37/6263.58=202.21%。</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(2)预算完成-规范实施</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单位专项项目按工作方案规范实施，资金支付依据符合规定，专款专用，开支标准合法合规，会计核算规范。</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(3)实施绩效</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根据单位提供的相关项目资料，2021年已完成专项项目已按工作方案完成并投入使用，发挥了预期效益。</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(三)绩效结果应用</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1.信息公开</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单位在黑水县人民政府官网上公开了《黑水县交通局2021年部门预算编制说明》，并附带公开《2021年交通局预算公开表》。</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单位在黑水县人民政府官网上公开了《黑水县交通局2022年部门预算编制说明》，并附带公开《2022年交通局预算公开表》。</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2.整改反馈</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(1)结果整改-违规记录整改</w:t>
      </w:r>
    </w:p>
    <w:p>
      <w:pPr>
        <w:spacing w:line="640" w:lineRule="exact"/>
        <w:ind w:firstLine="600" w:firstLineChars="200"/>
        <w:jc w:val="both"/>
        <w:outlineLvl w:val="0"/>
        <w:rPr>
          <w:rFonts w:ascii="仿宋" w:hAnsi="仿宋" w:eastAsia="仿宋" w:cs="仿宋"/>
          <w:color w:val="FF0000"/>
          <w:sz w:val="30"/>
          <w:szCs w:val="30"/>
        </w:rPr>
      </w:pPr>
      <w:r>
        <w:rPr>
          <w:rFonts w:hint="eastAsia" w:ascii="仿宋" w:hAnsi="仿宋" w:eastAsia="仿宋" w:cs="仿宋"/>
          <w:sz w:val="30"/>
          <w:szCs w:val="30"/>
        </w:rPr>
        <w:t>单位2021年度绩效管理过程中，无绩效目标核查、绩效监控核查和重点绩效评价等违规记录及整改。</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(2)应用反馈</w:t>
      </w:r>
    </w:p>
    <w:p>
      <w:pPr>
        <w:spacing w:line="640" w:lineRule="exact"/>
        <w:ind w:firstLine="600" w:firstLineChars="200"/>
        <w:jc w:val="both"/>
        <w:outlineLvl w:val="0"/>
        <w:rPr>
          <w:rFonts w:ascii="仿宋" w:hAnsi="仿宋" w:eastAsia="仿宋" w:cs="仿宋"/>
          <w:color w:val="000000"/>
          <w:sz w:val="30"/>
          <w:szCs w:val="30"/>
        </w:rPr>
      </w:pPr>
      <w:r>
        <w:rPr>
          <w:rFonts w:hint="eastAsia" w:ascii="仿宋" w:hAnsi="仿宋" w:eastAsia="仿宋" w:cs="仿宋"/>
          <w:color w:val="000000"/>
          <w:sz w:val="30"/>
          <w:szCs w:val="30"/>
        </w:rPr>
        <w:t>单位2021年按上级要求对预算执行情况、项目开展情况进行结果反馈，有效反映了被单位的绩效目标考核情况。</w:t>
      </w:r>
    </w:p>
    <w:p>
      <w:pPr>
        <w:spacing w:line="640" w:lineRule="exact"/>
        <w:ind w:firstLine="602" w:firstLineChars="200"/>
        <w:jc w:val="both"/>
        <w:outlineLvl w:val="0"/>
        <w:rPr>
          <w:rFonts w:hint="eastAsia" w:ascii="仿宋" w:hAnsi="仿宋" w:eastAsia="仿宋" w:cs="仿宋"/>
          <w:b/>
          <w:bCs/>
          <w:sz w:val="30"/>
          <w:szCs w:val="30"/>
        </w:rPr>
      </w:pPr>
      <w:r>
        <w:rPr>
          <w:rFonts w:hint="eastAsia" w:ascii="仿宋" w:hAnsi="仿宋" w:eastAsia="仿宋" w:cs="仿宋"/>
          <w:b/>
          <w:bCs/>
          <w:sz w:val="30"/>
          <w:szCs w:val="30"/>
        </w:rPr>
        <w:t>(四)评价结论 </w:t>
      </w:r>
    </w:p>
    <w:p>
      <w:pPr>
        <w:spacing w:line="640" w:lineRule="exact"/>
        <w:ind w:firstLine="645"/>
        <w:rPr>
          <w:rFonts w:ascii="仿宋" w:hAnsi="仿宋" w:eastAsia="仿宋" w:cs="仿宋"/>
          <w:color w:val="000000"/>
          <w:sz w:val="30"/>
          <w:szCs w:val="30"/>
        </w:rPr>
      </w:pPr>
      <w:r>
        <w:rPr>
          <w:rFonts w:hint="eastAsia" w:ascii="仿宋" w:hAnsi="仿宋" w:eastAsia="仿宋" w:cs="仿宋"/>
          <w:color w:val="00000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640" w:lineRule="exact"/>
        <w:ind w:firstLine="645"/>
        <w:rPr>
          <w:rFonts w:ascii="仿宋" w:hAnsi="仿宋" w:eastAsia="仿宋" w:cs="仿宋"/>
          <w:color w:val="000000"/>
          <w:sz w:val="30"/>
          <w:szCs w:val="30"/>
        </w:rPr>
      </w:pPr>
      <w:r>
        <w:rPr>
          <w:rFonts w:hint="eastAsia" w:ascii="仿宋" w:hAnsi="仿宋" w:eastAsia="仿宋" w:cs="仿宋"/>
          <w:color w:val="000000"/>
          <w:sz w:val="30"/>
          <w:szCs w:val="30"/>
        </w:rPr>
        <w:t>结合评价得分评价结果为良好。</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五、存在问题及建议</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(一)存在问题</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1.编制准确方面</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单位2021年一般公共预算财政拨款收入调整预算数6880.43万元，其中：项目支出6265.56万元，基本支出614.87万元，比年初预算523.27，增加6357.16万元。</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2.支出控制方面</w:t>
      </w:r>
    </w:p>
    <w:p>
      <w:pPr>
        <w:spacing w:line="640" w:lineRule="exact"/>
        <w:ind w:firstLine="600" w:firstLineChars="200"/>
        <w:jc w:val="both"/>
        <w:outlineLvl w:val="0"/>
        <w:rPr>
          <w:rFonts w:ascii="仿宋" w:hAnsi="仿宋" w:eastAsia="仿宋" w:cs="仿宋"/>
          <w:sz w:val="30"/>
          <w:szCs w:val="30"/>
        </w:rPr>
      </w:pPr>
      <w:r>
        <w:rPr>
          <w:rFonts w:hint="eastAsia" w:ascii="仿宋" w:hAnsi="仿宋" w:eastAsia="仿宋" w:cs="仿宋"/>
          <w:sz w:val="30"/>
          <w:szCs w:val="30"/>
        </w:rPr>
        <w:t xml:space="preserve">被单位部门日常公用经费、项目支出中“办公费、印刷费、水费、电费、物业管理费”等科目年初预算数、与决算数相比，综合偏差率为8.25%。  </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3.执行进度方面</w:t>
      </w:r>
    </w:p>
    <w:p>
      <w:pPr>
        <w:spacing w:line="64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2021年6月应达到的实际支出进度为40%。至2021年6月30日，单位实际累计支出金额3614.74万元，实际支出进度为26.8%</w:t>
      </w:r>
      <w:r>
        <w:rPr>
          <w:rFonts w:hint="eastAsia" w:ascii="仿宋" w:hAnsi="仿宋" w:eastAsia="仿宋" w:cs="仿宋"/>
          <w:sz w:val="30"/>
          <w:szCs w:val="30"/>
          <w:lang w:val="en-US" w:eastAsia="zh-CN"/>
        </w:rPr>
        <w:t>。</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2021年9月应达到的实际支出进度为67.50%。至2021年9月30日，单位实际累计支出金额4391.11万元，实际支出进度32.56%。</w:t>
      </w:r>
    </w:p>
    <w:p>
      <w:pPr>
        <w:spacing w:line="64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2021年11月应达到的实际支出进度为82.5%。至2021年11月30日，单位实际累计支出金额7402.28万元，实际支出进度54.88%。</w:t>
      </w:r>
    </w:p>
    <w:p>
      <w:pPr>
        <w:pStyle w:val="2"/>
        <w:spacing w:line="640" w:lineRule="exact"/>
        <w:ind w:left="1040" w:hanging="560"/>
        <w:rPr>
          <w:rFonts w:ascii="仿宋" w:hAnsi="仿宋" w:eastAsia="仿宋" w:cs="仿宋"/>
          <w:sz w:val="30"/>
          <w:szCs w:val="30"/>
        </w:rPr>
      </w:pPr>
      <w:r>
        <w:rPr>
          <w:rFonts w:hint="eastAsia" w:ascii="仿宋" w:hAnsi="仿宋" w:eastAsia="仿宋" w:cs="仿宋"/>
          <w:sz w:val="30"/>
          <w:szCs w:val="30"/>
        </w:rPr>
        <w:t>存在集中在12月支付的情况</w:t>
      </w:r>
    </w:p>
    <w:p>
      <w:pPr>
        <w:spacing w:line="640" w:lineRule="exact"/>
        <w:ind w:firstLine="602" w:firstLineChars="200"/>
        <w:jc w:val="both"/>
        <w:outlineLvl w:val="0"/>
        <w:rPr>
          <w:rFonts w:ascii="仿宋" w:hAnsi="仿宋" w:eastAsia="仿宋" w:cs="仿宋"/>
          <w:color w:val="323232"/>
          <w:sz w:val="30"/>
          <w:szCs w:val="30"/>
        </w:rPr>
      </w:pPr>
      <w:r>
        <w:rPr>
          <w:rFonts w:hint="eastAsia" w:ascii="仿宋" w:hAnsi="仿宋" w:eastAsia="仿宋" w:cs="仿宋"/>
          <w:b/>
          <w:bCs/>
          <w:sz w:val="30"/>
          <w:szCs w:val="30"/>
        </w:rPr>
        <w:t>(二)改进建议</w:t>
      </w:r>
    </w:p>
    <w:p>
      <w:pPr>
        <w:pStyle w:val="5"/>
        <w:spacing w:before="0" w:beforeAutospacing="0" w:after="0" w:afterAutospacing="0" w:line="640" w:lineRule="exact"/>
        <w:ind w:firstLine="480"/>
        <w:jc w:val="both"/>
        <w:rPr>
          <w:rFonts w:ascii="仿宋" w:hAnsi="仿宋" w:eastAsia="仿宋" w:cs="仿宋"/>
          <w:sz w:val="30"/>
          <w:szCs w:val="30"/>
        </w:rPr>
      </w:pPr>
      <w:r>
        <w:rPr>
          <w:rFonts w:hint="eastAsia" w:ascii="仿宋" w:hAnsi="仿宋" w:eastAsia="仿宋" w:cs="仿宋"/>
          <w:sz w:val="30"/>
          <w:szCs w:val="30"/>
        </w:rPr>
        <w:t>1.建议单位加强预算管理，提高预算编制准确性。</w:t>
      </w:r>
    </w:p>
    <w:p>
      <w:pPr>
        <w:pStyle w:val="5"/>
        <w:spacing w:before="0" w:beforeAutospacing="0" w:after="0" w:afterAutospacing="0" w:line="640" w:lineRule="exact"/>
        <w:ind w:firstLine="480"/>
        <w:jc w:val="both"/>
        <w:rPr>
          <w:rFonts w:ascii="仿宋" w:hAnsi="仿宋" w:eastAsia="仿宋" w:cs="仿宋"/>
          <w:sz w:val="30"/>
          <w:szCs w:val="30"/>
        </w:rPr>
      </w:pPr>
      <w:r>
        <w:rPr>
          <w:rFonts w:hint="eastAsia" w:ascii="仿宋" w:hAnsi="仿宋" w:eastAsia="仿宋" w:cs="仿宋"/>
          <w:color w:val="323232"/>
          <w:sz w:val="30"/>
          <w:szCs w:val="30"/>
        </w:rPr>
        <w:t>2.建议单位加强单位日常公用经费支出控制。</w:t>
      </w:r>
    </w:p>
    <w:p>
      <w:pPr>
        <w:pStyle w:val="5"/>
        <w:spacing w:before="0" w:beforeAutospacing="0" w:after="0" w:afterAutospacing="0" w:line="640" w:lineRule="exact"/>
        <w:ind w:firstLine="480"/>
        <w:jc w:val="both"/>
        <w:rPr>
          <w:rFonts w:ascii="仿宋" w:hAnsi="仿宋" w:eastAsia="仿宋" w:cs="仿宋"/>
          <w:color w:val="323232"/>
          <w:sz w:val="30"/>
          <w:szCs w:val="30"/>
        </w:rPr>
      </w:pPr>
      <w:r>
        <w:rPr>
          <w:rFonts w:hint="eastAsia" w:ascii="仿宋" w:hAnsi="仿宋" w:eastAsia="仿宋" w:cs="仿宋"/>
          <w:color w:val="323232"/>
          <w:sz w:val="30"/>
          <w:szCs w:val="30"/>
        </w:rPr>
        <w:t>3.建议单位加强预算资金执行进度。</w:t>
      </w:r>
    </w:p>
    <w:p>
      <w:pPr>
        <w:spacing w:line="640" w:lineRule="exact"/>
        <w:ind w:firstLine="602" w:firstLineChars="200"/>
        <w:jc w:val="both"/>
        <w:outlineLvl w:val="0"/>
        <w:rPr>
          <w:rFonts w:ascii="仿宋" w:hAnsi="仿宋" w:eastAsia="仿宋" w:cs="仿宋"/>
          <w:b/>
          <w:bCs/>
          <w:sz w:val="30"/>
          <w:szCs w:val="30"/>
        </w:rPr>
      </w:pPr>
      <w:r>
        <w:rPr>
          <w:rFonts w:hint="eastAsia" w:ascii="仿宋" w:hAnsi="仿宋" w:eastAsia="仿宋" w:cs="仿宋"/>
          <w:b/>
          <w:bCs/>
          <w:sz w:val="30"/>
          <w:szCs w:val="30"/>
        </w:rPr>
        <w:t>六、其他说明</w:t>
      </w:r>
    </w:p>
    <w:p>
      <w:pPr>
        <w:pStyle w:val="2"/>
        <w:spacing w:line="640" w:lineRule="exact"/>
        <w:ind w:left="1040" w:hanging="560"/>
        <w:rPr>
          <w:rFonts w:ascii="仿宋" w:hAnsi="仿宋" w:eastAsia="仿宋" w:cs="仿宋"/>
          <w:sz w:val="30"/>
          <w:szCs w:val="30"/>
        </w:rPr>
      </w:pPr>
      <w:r>
        <w:rPr>
          <w:rFonts w:hint="eastAsia" w:ascii="仿宋" w:hAnsi="仿宋" w:eastAsia="仿宋" w:cs="仿宋"/>
          <w:sz w:val="30"/>
          <w:szCs w:val="30"/>
        </w:rPr>
        <w:t>无</w:t>
      </w:r>
    </w:p>
    <w:p>
      <w:pPr>
        <w:spacing w:line="640" w:lineRule="exact"/>
        <w:rPr>
          <w:rFonts w:ascii="仿宋" w:hAnsi="仿宋" w:eastAsia="仿宋" w:cs="仿宋"/>
          <w:sz w:val="30"/>
          <w:szCs w:val="30"/>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ADD8D"/>
    <w:multiLevelType w:val="singleLevel"/>
    <w:tmpl w:val="5B7ADD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yMmQyMjgyNTkwZWY0MGY3NTIzZTM1MGNmMjQ1MWIifQ=="/>
  </w:docVars>
  <w:rsids>
    <w:rsidRoot w:val="09605478"/>
    <w:rsid w:val="000B2585"/>
    <w:rsid w:val="00473B6E"/>
    <w:rsid w:val="008F1ECF"/>
    <w:rsid w:val="00CC1E65"/>
    <w:rsid w:val="00D626D7"/>
    <w:rsid w:val="00DC6349"/>
    <w:rsid w:val="00F61F4E"/>
    <w:rsid w:val="025E3B4C"/>
    <w:rsid w:val="0426342E"/>
    <w:rsid w:val="04A407F0"/>
    <w:rsid w:val="04C90A88"/>
    <w:rsid w:val="06A572D0"/>
    <w:rsid w:val="08EE418B"/>
    <w:rsid w:val="09605478"/>
    <w:rsid w:val="13B669E4"/>
    <w:rsid w:val="142010CE"/>
    <w:rsid w:val="14302DF5"/>
    <w:rsid w:val="188D776A"/>
    <w:rsid w:val="2E4D5A14"/>
    <w:rsid w:val="358914BA"/>
    <w:rsid w:val="36E2292F"/>
    <w:rsid w:val="417A02DD"/>
    <w:rsid w:val="49EC7FE3"/>
    <w:rsid w:val="4AC114ED"/>
    <w:rsid w:val="4E202322"/>
    <w:rsid w:val="58323A52"/>
    <w:rsid w:val="59EC7EB4"/>
    <w:rsid w:val="5C38616F"/>
    <w:rsid w:val="5D5A436B"/>
    <w:rsid w:val="67521642"/>
    <w:rsid w:val="6A3F388D"/>
    <w:rsid w:val="6AF87A50"/>
    <w:rsid w:val="6FA1457F"/>
    <w:rsid w:val="702260E8"/>
    <w:rsid w:val="70353A8F"/>
    <w:rsid w:val="74FB3787"/>
    <w:rsid w:val="75955A70"/>
    <w:rsid w:val="774A0DDE"/>
    <w:rsid w:val="78EC24F2"/>
    <w:rsid w:val="7A4D5724"/>
    <w:rsid w:val="7CCE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仿宋_GB2312" w:cs="Times New Roman"/>
      <w:sz w:val="32"/>
      <w:szCs w:val="32"/>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0"/>
    <w:rPr>
      <w:rFonts w:ascii="宋体" w:hAnsi="宋体" w:cs="宋体"/>
      <w:sz w:val="18"/>
      <w:szCs w:val="18"/>
    </w:rPr>
  </w:style>
  <w:style w:type="character" w:customStyle="1" w:styleId="11">
    <w:name w:val="页脚 Char"/>
    <w:basedOn w:val="8"/>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7754</Words>
  <Characters>9157</Characters>
  <Lines>16</Lines>
  <Paragraphs>19</Paragraphs>
  <TotalTime>370</TotalTime>
  <ScaleCrop>false</ScaleCrop>
  <LinksUpToDate>false</LinksUpToDate>
  <CharactersWithSpaces>9259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2022-07-22T03:19:00Z</dcterms:created>
  <dc:creator>Administrator</dc:creator>
  <cp:lastModifiedBy>散步</cp:lastModifiedBy>
  <dcterms:modified xsi:type="dcterms:W3CDTF">2022-08-25T08:34:32Z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D4C80CCA8D41498EAC77245D68589402</vt:lpwstr>
  </property>
</Properties>
</file>