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黑水县交通局（本级）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关于“三公”经费2022年决算情况说明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“三公”经费2022年决算情况如下：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2022年决算支出10.43万元,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与预算数一致，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较上年度决算减少17.10万元。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2022年决算支出0.91万元，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与预算数一致，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较2021年决算减少2.32万元，主要原因是：减少了接待人次。其中：国内公务接待费0.91万元，共计19批次共107人；国（境）外公务接待费0元。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2022年决算支出9.52万元，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与预算数一致，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较2021年决算减少17.10万元。主要原因：实施项目减少，厉行节约，降低了人均经费，从而减少了燃油费、过路过桥费、修车费等车辆运行维护费。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单位共有公务用车5辆，其中：越野车1辆，轿车1辆，其他车型3辆</w:t>
      </w:r>
    </w:p>
    <w:p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2022年安排公务用车运行维护费9.52万元。</w:t>
      </w:r>
      <w:r>
        <w:rPr>
          <w:rFonts w:hint="eastAsia" w:ascii="仿宋_GB2312" w:eastAsia="仿宋_GB2312"/>
          <w:color w:val="000000"/>
          <w:sz w:val="32"/>
          <w:szCs w:val="32"/>
        </w:rPr>
        <w:t>主要用于公路建设、养护、客运处管理等工作所需的公务用车燃料费、维修费、过路过桥费、保险费等支出。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2022年安排公务用车购置0辆，购置费0万元。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jc w:val="both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黑水县交通局财政拨款“三公”经费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2022年决算情况表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0.91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9.52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9.52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kyMmQyMjgyNTkwZWY0MGY3NTIzZTM1MGNmMjQ1MWIifQ=="/>
  </w:docVars>
  <w:rsids>
    <w:rsidRoot w:val="003F1AE8"/>
    <w:rsid w:val="003F1AE8"/>
    <w:rsid w:val="004800A7"/>
    <w:rsid w:val="004B4775"/>
    <w:rsid w:val="005A2B55"/>
    <w:rsid w:val="007153A1"/>
    <w:rsid w:val="008864CF"/>
    <w:rsid w:val="00C74079"/>
    <w:rsid w:val="00CF3806"/>
    <w:rsid w:val="0F3429A8"/>
    <w:rsid w:val="1D0B2F60"/>
    <w:rsid w:val="1D3108E3"/>
    <w:rsid w:val="60366A76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95</Words>
  <Characters>542</Characters>
  <Lines>4</Lines>
  <Paragraphs>1</Paragraphs>
  <TotalTime>2</TotalTime>
  <ScaleCrop>false</ScaleCrop>
  <LinksUpToDate>false</LinksUpToDate>
  <CharactersWithSpaces>636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、</cp:lastModifiedBy>
  <dcterms:modified xsi:type="dcterms:W3CDTF">2023-09-21T07:31:56Z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82651F205F8A462F9F2912F1FFD52BBB_12</vt:lpwstr>
  </property>
</Properties>
</file>