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方正小标宋_GBK" w:hAnsi="方正小标宋_GBK" w:eastAsia="方正小标宋_GBK" w:cs="方正小标宋_GBK"/>
          <w:sz w:val="32"/>
          <w:szCs w:val="32"/>
          <w:lang w:val="en-US" w:eastAsia="zh-CN"/>
        </w:rPr>
      </w:pPr>
      <w:bookmarkStart w:id="0" w:name="_Toc5462"/>
      <w:bookmarkStart w:id="1" w:name="_Toc28233"/>
      <w:r>
        <w:rPr>
          <w:rFonts w:hint="eastAsia" w:ascii="方正小标宋_GBK" w:hAnsi="方正小标宋_GBK" w:eastAsia="方正小标宋_GBK" w:cs="方正小标宋_GBK"/>
          <w:sz w:val="32"/>
          <w:szCs w:val="32"/>
          <w:lang w:val="en-US" w:eastAsia="zh-CN"/>
        </w:rPr>
        <w:t>附件：1-2</w:t>
      </w:r>
    </w:p>
    <w:p>
      <w:pPr>
        <w:spacing w:line="640" w:lineRule="exact"/>
        <w:jc w:val="both"/>
        <w:rPr>
          <w:rFonts w:hint="eastAsia"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黑水县交通</w:t>
      </w:r>
      <w:r>
        <w:rPr>
          <w:rFonts w:hint="eastAsia" w:ascii="方正小标宋_GBK" w:hAnsi="方正小标宋_GBK" w:eastAsia="方正小标宋_GBK" w:cs="方正小标宋_GBK"/>
          <w:sz w:val="44"/>
          <w:szCs w:val="44"/>
          <w:lang w:val="en-US" w:eastAsia="zh-CN"/>
        </w:rPr>
        <w:t>运输</w:t>
      </w:r>
      <w:r>
        <w:rPr>
          <w:rFonts w:hint="eastAsia" w:ascii="方正小标宋_GBK" w:hAnsi="方正小标宋_GBK" w:eastAsia="方正小标宋_GBK" w:cs="方正小标宋_GBK"/>
          <w:sz w:val="44"/>
          <w:szCs w:val="44"/>
        </w:rPr>
        <w:t>局（本级）</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年部门整体支出绩效评价报告</w:t>
      </w:r>
      <w:bookmarkEnd w:id="0"/>
      <w:bookmarkEnd w:id="1"/>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一、部门</w:t>
      </w:r>
      <w:r>
        <w:rPr>
          <w:rFonts w:hint="eastAsia" w:ascii="仿宋" w:hAnsi="仿宋" w:eastAsia="仿宋" w:cs="仿宋"/>
          <w:b/>
          <w:bCs/>
          <w:sz w:val="32"/>
          <w:szCs w:val="32"/>
          <w:lang w:eastAsia="zh-CN"/>
        </w:rPr>
        <w:t>概</w:t>
      </w:r>
      <w:r>
        <w:rPr>
          <w:rFonts w:hint="eastAsia" w:ascii="仿宋" w:hAnsi="仿宋" w:eastAsia="仿宋" w:cs="仿宋"/>
          <w:b/>
          <w:bCs/>
          <w:sz w:val="32"/>
          <w:szCs w:val="32"/>
        </w:rPr>
        <w:t>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sz w:val="32"/>
          <w:szCs w:val="32"/>
        </w:rPr>
      </w:pPr>
      <w:bookmarkStart w:id="2" w:name="_Toc8158"/>
      <w:bookmarkStart w:id="3" w:name="_Toc6445"/>
      <w:r>
        <w:rPr>
          <w:rFonts w:hint="eastAsia" w:ascii="仿宋" w:hAnsi="仿宋" w:eastAsia="仿宋" w:cs="仿宋"/>
          <w:color w:val="000000"/>
          <w:kern w:val="0"/>
          <w:sz w:val="32"/>
          <w:szCs w:val="32"/>
          <w:highlight w:val="none"/>
          <w:shd w:val="clear" w:color="auto" w:fill="FFFFFF"/>
          <w:lang w:val="zh-CN"/>
        </w:rPr>
        <w:t>一、部门（单位）基本情况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2" w:firstLineChars="200"/>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本部门独立编制机构1个，</w:t>
      </w:r>
      <w:r>
        <w:rPr>
          <w:rFonts w:hint="eastAsia" w:ascii="仿宋" w:hAnsi="仿宋" w:eastAsia="仿宋" w:cs="仿宋"/>
          <w:sz w:val="32"/>
          <w:szCs w:val="32"/>
          <w:lang w:eastAsia="zh-CN"/>
        </w:rPr>
        <w:t>设置</w:t>
      </w:r>
      <w:r>
        <w:rPr>
          <w:rFonts w:hint="eastAsia" w:ascii="仿宋" w:hAnsi="仿宋" w:eastAsia="仿宋" w:cs="仿宋"/>
          <w:sz w:val="32"/>
          <w:szCs w:val="32"/>
        </w:rPr>
        <w:t>办公室、</w:t>
      </w:r>
      <w:r>
        <w:rPr>
          <w:rFonts w:hint="eastAsia" w:ascii="仿宋" w:hAnsi="仿宋" w:eastAsia="仿宋" w:cs="仿宋"/>
          <w:sz w:val="32"/>
          <w:szCs w:val="32"/>
          <w:lang w:val="en-US" w:eastAsia="zh-CN"/>
        </w:rPr>
        <w:t>交通规划建设股（行政审批股）</w:t>
      </w:r>
      <w:r>
        <w:rPr>
          <w:rFonts w:hint="eastAsia" w:ascii="仿宋" w:hAnsi="仿宋" w:eastAsia="仿宋" w:cs="仿宋"/>
          <w:sz w:val="32"/>
          <w:szCs w:val="32"/>
        </w:rPr>
        <w:t>、</w:t>
      </w:r>
      <w:r>
        <w:rPr>
          <w:rFonts w:hint="eastAsia" w:ascii="仿宋" w:hAnsi="仿宋" w:eastAsia="仿宋" w:cs="仿宋"/>
          <w:sz w:val="32"/>
          <w:szCs w:val="32"/>
          <w:lang w:val="en-US" w:eastAsia="zh-CN"/>
        </w:rPr>
        <w:t>安全运输管理股</w:t>
      </w:r>
      <w:r>
        <w:rPr>
          <w:rFonts w:hint="eastAsia" w:ascii="仿宋" w:hAnsi="仿宋" w:eastAsia="仿宋" w:cs="仿宋"/>
          <w:sz w:val="32"/>
          <w:szCs w:val="32"/>
        </w:rPr>
        <w:t>、</w:t>
      </w:r>
      <w:r>
        <w:rPr>
          <w:rFonts w:hint="eastAsia" w:ascii="仿宋" w:hAnsi="仿宋" w:eastAsia="仿宋" w:cs="仿宋"/>
          <w:sz w:val="32"/>
          <w:szCs w:val="32"/>
          <w:lang w:val="en-US" w:eastAsia="zh-CN"/>
        </w:rPr>
        <w:t>农村公路服务中心</w:t>
      </w:r>
      <w:r>
        <w:rPr>
          <w:rFonts w:hint="eastAsia" w:ascii="仿宋" w:hAnsi="仿宋" w:eastAsia="仿宋" w:cs="仿宋"/>
          <w:sz w:val="32"/>
          <w:szCs w:val="32"/>
        </w:rPr>
        <w:t>、</w:t>
      </w:r>
      <w:r>
        <w:rPr>
          <w:rFonts w:hint="eastAsia" w:ascii="仿宋" w:hAnsi="仿宋" w:eastAsia="仿宋" w:cs="仿宋"/>
          <w:sz w:val="32"/>
          <w:szCs w:val="32"/>
          <w:lang w:val="en-US" w:eastAsia="zh-CN"/>
        </w:rPr>
        <w:t>公路工程质量监督管理站</w:t>
      </w:r>
      <w:r>
        <w:rPr>
          <w:rFonts w:hint="eastAsia" w:ascii="仿宋" w:hAnsi="仿宋" w:eastAsia="仿宋" w:cs="仿宋"/>
          <w:sz w:val="32"/>
          <w:szCs w:val="32"/>
        </w:rPr>
        <w:t>、</w:t>
      </w:r>
      <w:r>
        <w:rPr>
          <w:rFonts w:hint="eastAsia" w:ascii="仿宋" w:hAnsi="仿宋" w:eastAsia="仿宋" w:cs="仿宋"/>
          <w:sz w:val="32"/>
          <w:szCs w:val="32"/>
          <w:lang w:val="en-US" w:eastAsia="zh-CN"/>
        </w:rPr>
        <w:t>交通运输执法队6</w:t>
      </w:r>
      <w:r>
        <w:rPr>
          <w:rFonts w:hint="eastAsia" w:ascii="仿宋" w:hAnsi="仿宋" w:eastAsia="仿宋" w:cs="仿宋"/>
          <w:sz w:val="32"/>
          <w:szCs w:val="32"/>
        </w:rPr>
        <w:t>个股室。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本单位下属二级预算单位0个，其中行政单位0个，参照公务员管理事业单位0个，其他事业单位0个。</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（二）机构职能。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交通运输局贯彻落实党中央关于交通运输工作的方针政策和省委、州委、县委决策部署，在履行职责过程中坚持和加强党对交通运输工作的集中统一领导。主要职责是：贯彻执行国家、省、州有关交通运输行业的方针、政策和法律法规。组织拟订并监督实施公路、水路等行业规划、政策和会同有关部门组织编制综合交通运输体系规划。负责本系统、本部门依法行政工作，落实行政执法责任制。指导公路、水路行业有关体制改革工作，负责全县物流管理工作。承担道路、水路交通运输市场监管责任，组织制定道路运输有关政策、技术标准和运营规范并监督实施，指导乡镇管理工作，指导出租汽车行业管理工作，会同有关部门制定运输价格。</w:t>
      </w:r>
    </w:p>
    <w:p>
      <w:pPr>
        <w:keepNext w:val="0"/>
        <w:keepLines w:val="0"/>
        <w:pageBreakBefore w:val="0"/>
        <w:widowControl w:val="0"/>
        <w:numPr>
          <w:ilvl w:val="0"/>
          <w:numId w:val="0"/>
        </w:numPr>
        <w:suppressLineNumbers w:val="0"/>
        <w:kinsoku/>
        <w:wordWrap/>
        <w:overflowPunct/>
        <w:topLinePunct w:val="0"/>
        <w:autoSpaceDE w:val="0"/>
        <w:autoSpaceDN/>
        <w:bidi w:val="0"/>
        <w:snapToGrid w:val="0"/>
        <w:spacing w:line="560" w:lineRule="exact"/>
        <w:ind w:firstLine="640" w:firstLineChars="200"/>
        <w:textAlignment w:val="auto"/>
        <w:rPr>
          <w:rFonts w:hint="eastAsia" w:ascii="仿宋" w:hAnsi="仿宋" w:eastAsia="仿宋" w:cs="仿宋"/>
          <w:kern w:val="2"/>
          <w:sz w:val="32"/>
          <w:szCs w:val="32"/>
          <w:lang w:val="en-US"/>
        </w:rPr>
      </w:pPr>
      <w:r>
        <w:rPr>
          <w:rFonts w:hint="eastAsia" w:ascii="仿宋" w:hAnsi="仿宋" w:eastAsia="仿宋" w:cs="仿宋"/>
          <w:sz w:val="32"/>
          <w:szCs w:val="32"/>
          <w:lang w:val="en-US" w:eastAsia="zh-CN"/>
        </w:rPr>
        <w:t>拟订公路、水路工程建设相关政策、制度、技术标准并监督实施，组织协调公路有关重点工程建设和工程质量、安全生产监督管理工作，负责对交通行业和产业项目的招标投标活动的监督执法，承担全县高速公路统一管理、建设的有关工作（我县暂无高速公路）。指导交通运输基础设施管理和维护，承担有关重要设施的管理和维护。按规定指导交通运输行业经营管理，会同有关部门组织实施交通运输行业职业资格管理工作。指导公路、水路行业安全生产和应急管理工作。按规定组织协调省、州、县重点物资和紧急客货运输。组织协调地方交通战备工作，承担国防动员有关工作。制定交通运输科技政策并监督实施，组织重大科技开发。指导全县交通运输信息化建设，监测分析运行情况，开展相关统计工作，发布有关信息。指导公路、水路行业环境保护和节能减排工作。负责公路、水路有关涉外工作，开展对外经济技术交流与合作，指导全县交通运输行业招商引资和利用外资工作。 强化参与拟订物流业发展战略和规划，拟订有 关政策并监督实施的职责。负责全县交通综合行政执法工作。</w:t>
      </w:r>
      <w:r>
        <w:rPr>
          <w:rFonts w:hint="eastAsia" w:ascii="仿宋" w:hAnsi="仿宋" w:eastAsia="仿宋" w:cs="仿宋"/>
          <w:kern w:val="2"/>
          <w:sz w:val="32"/>
          <w:szCs w:val="32"/>
          <w:lang w:val="en-US"/>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年末，单位</w:t>
      </w:r>
      <w:r>
        <w:rPr>
          <w:rFonts w:hint="eastAsia" w:ascii="仿宋" w:hAnsi="仿宋" w:eastAsia="仿宋" w:cs="仿宋"/>
          <w:sz w:val="32"/>
          <w:szCs w:val="32"/>
          <w:lang w:val="en-US" w:eastAsia="zh-CN"/>
        </w:rPr>
        <w:t>行政</w:t>
      </w:r>
      <w:r>
        <w:rPr>
          <w:rFonts w:hint="eastAsia" w:ascii="仿宋" w:hAnsi="仿宋" w:eastAsia="仿宋" w:cs="仿宋"/>
          <w:sz w:val="32"/>
          <w:szCs w:val="32"/>
        </w:rPr>
        <w:t>编制</w:t>
      </w:r>
      <w:r>
        <w:rPr>
          <w:rFonts w:hint="eastAsia" w:ascii="仿宋" w:hAnsi="仿宋" w:eastAsia="仿宋" w:cs="仿宋"/>
          <w:sz w:val="32"/>
          <w:szCs w:val="32"/>
          <w:lang w:val="en-US" w:eastAsia="zh-CN"/>
        </w:rPr>
        <w:t>18</w:t>
      </w:r>
      <w:r>
        <w:rPr>
          <w:rFonts w:hint="eastAsia" w:ascii="仿宋" w:hAnsi="仿宋" w:eastAsia="仿宋" w:cs="仿宋"/>
          <w:sz w:val="32"/>
          <w:szCs w:val="32"/>
        </w:rPr>
        <w:t>名，</w:t>
      </w:r>
      <w:r>
        <w:rPr>
          <w:rFonts w:hint="eastAsia" w:ascii="仿宋" w:hAnsi="仿宋" w:eastAsia="仿宋" w:cs="仿宋"/>
          <w:sz w:val="32"/>
          <w:szCs w:val="32"/>
          <w:lang w:val="en-US" w:eastAsia="zh-CN"/>
        </w:rPr>
        <w:t>公务员</w:t>
      </w:r>
      <w:r>
        <w:rPr>
          <w:rFonts w:hint="eastAsia" w:ascii="仿宋" w:hAnsi="仿宋" w:eastAsia="仿宋" w:cs="仿宋"/>
          <w:sz w:val="32"/>
          <w:szCs w:val="32"/>
        </w:rPr>
        <w:t>编制</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val="en-US" w:eastAsia="zh-CN"/>
        </w:rPr>
        <w:t>参公编制8人，</w:t>
      </w:r>
      <w:r>
        <w:rPr>
          <w:rFonts w:hint="eastAsia" w:ascii="仿宋" w:hAnsi="仿宋" w:eastAsia="仿宋" w:cs="仿宋"/>
          <w:sz w:val="32"/>
          <w:szCs w:val="32"/>
        </w:rPr>
        <w:t>行政工勤</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val="en-US" w:eastAsia="zh-CN"/>
        </w:rPr>
        <w:t>离休人员1名</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rPr>
        <w:t>二、</w:t>
      </w:r>
      <w:r>
        <w:rPr>
          <w:rFonts w:hint="eastAsia" w:ascii="仿宋" w:hAnsi="仿宋" w:eastAsia="仿宋" w:cs="仿宋"/>
          <w:color w:val="000000"/>
          <w:kern w:val="0"/>
          <w:sz w:val="32"/>
          <w:szCs w:val="32"/>
          <w:highlight w:val="none"/>
          <w:shd w:val="clear" w:color="auto" w:fill="FFFFFF"/>
          <w:lang w:eastAsia="zh-CN"/>
        </w:rPr>
        <w:t>部门</w:t>
      </w:r>
      <w:r>
        <w:rPr>
          <w:rFonts w:hint="eastAsia" w:ascii="仿宋" w:hAnsi="仿宋" w:eastAsia="仿宋" w:cs="仿宋"/>
          <w:color w:val="000000"/>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（一）收入情况。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rPr>
        <w:t>交通局2023年年初预算收入450.43万元（其中：人员经费383.8万元、公用经费54.63万元、其它费用12万元）决算报表收入6183.21万元。</w:t>
      </w:r>
      <w:r>
        <w:rPr>
          <w:rFonts w:hint="eastAsia" w:ascii="仿宋" w:hAnsi="仿宋" w:eastAsia="仿宋" w:cs="仿宋"/>
          <w:sz w:val="32"/>
          <w:szCs w:val="32"/>
          <w:lang w:val="en-US" w:eastAsia="zh-CN"/>
        </w:rPr>
        <w:t>其中一般公共预算财政拨款收入</w:t>
      </w:r>
      <w:r>
        <w:rPr>
          <w:rFonts w:hint="eastAsia" w:ascii="仿宋" w:hAnsi="仿宋" w:eastAsia="仿宋" w:cs="仿宋"/>
          <w:kern w:val="2"/>
          <w:sz w:val="32"/>
          <w:szCs w:val="32"/>
          <w:lang w:val="en-US" w:eastAsia="zh-CN"/>
        </w:rPr>
        <w:t>6183.21万元</w:t>
      </w:r>
      <w:r>
        <w:rPr>
          <w:rFonts w:hint="eastAsia" w:ascii="仿宋" w:hAnsi="仿宋" w:eastAsia="仿宋" w:cs="仿宋"/>
          <w:sz w:val="32"/>
          <w:szCs w:val="32"/>
          <w:lang w:val="en-US" w:eastAsia="zh-CN"/>
        </w:rPr>
        <w:t>，占比100%，政府性基金预算财政拨款收入0.0万元。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（二）支出情况。</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总支出6183.21万元，占总支出的100%，其中：工资福利支出382.44万元，占本年支出6.2%；商品服务支出1224.91万元，占本年支出19.8%；对家庭和个人补助支出86.46万元，占本年支出1.4%；资本性支出（基本建设）4489.4万元，占本年支出72.64%。</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（三）</w:t>
      </w:r>
      <w:r>
        <w:rPr>
          <w:rFonts w:hint="eastAsia" w:ascii="仿宋" w:hAnsi="仿宋" w:eastAsia="仿宋" w:cs="仿宋"/>
          <w:b/>
          <w:bCs/>
          <w:color w:val="000000"/>
          <w:kern w:val="0"/>
          <w:sz w:val="32"/>
          <w:szCs w:val="32"/>
          <w:highlight w:val="none"/>
          <w:shd w:val="clear" w:color="auto" w:fill="FFFFFF"/>
          <w:lang w:val="zh-CN"/>
        </w:rPr>
        <w:t>结余分配和结转结余情况</w:t>
      </w:r>
      <w:r>
        <w:rPr>
          <w:rFonts w:hint="eastAsia" w:ascii="仿宋" w:hAnsi="仿宋" w:eastAsia="仿宋" w:cs="仿宋"/>
          <w:b/>
          <w:bCs/>
          <w:color w:val="000000"/>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sz w:val="32"/>
          <w:szCs w:val="32"/>
          <w:lang w:val="en-US" w:eastAsia="zh-CN"/>
        </w:rPr>
        <w:t>黑水交通运输局2023年决算报表</w:t>
      </w:r>
      <w:r>
        <w:rPr>
          <w:rFonts w:hint="eastAsia" w:ascii="仿宋" w:hAnsi="仿宋" w:eastAsia="仿宋" w:cs="仿宋"/>
          <w:b w:val="0"/>
          <w:bCs w:val="0"/>
          <w:color w:val="000000"/>
          <w:kern w:val="0"/>
          <w:sz w:val="32"/>
          <w:szCs w:val="32"/>
          <w:highlight w:val="none"/>
          <w:shd w:val="clear" w:color="auto" w:fill="FFFFFF"/>
          <w:lang w:val="en-US" w:eastAsia="zh-CN"/>
        </w:rPr>
        <w:t>结转结余为0。</w:t>
      </w:r>
    </w:p>
    <w:bookmarkEnd w:id="2"/>
    <w:bookmarkEnd w:id="3"/>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u w:val="none"/>
          <w:shd w:val="clear" w:color="auto" w:fill="FFFFFF"/>
          <w:lang w:eastAsia="zh-CN"/>
        </w:rPr>
      </w:pPr>
      <w:r>
        <w:rPr>
          <w:rFonts w:hint="eastAsia" w:ascii="仿宋" w:hAnsi="仿宋" w:eastAsia="仿宋" w:cs="仿宋"/>
          <w:color w:val="000000"/>
          <w:kern w:val="0"/>
          <w:sz w:val="32"/>
          <w:szCs w:val="32"/>
          <w:highlight w:val="none"/>
          <w:u w:val="none"/>
          <w:shd w:val="clear" w:color="auto" w:fill="FFFFFF"/>
        </w:rPr>
        <w:t>部门</w:t>
      </w:r>
      <w:r>
        <w:rPr>
          <w:rFonts w:hint="eastAsia" w:ascii="仿宋" w:hAnsi="仿宋" w:eastAsia="仿宋" w:cs="仿宋"/>
          <w:color w:val="000000"/>
          <w:kern w:val="0"/>
          <w:sz w:val="32"/>
          <w:szCs w:val="32"/>
          <w:highlight w:val="none"/>
          <w:u w:val="none"/>
          <w:shd w:val="clear" w:color="auto" w:fill="FFFFFF"/>
          <w:lang w:eastAsia="zh-CN"/>
        </w:rPr>
        <w:t>预算</w:t>
      </w:r>
      <w:r>
        <w:rPr>
          <w:rFonts w:hint="eastAsia" w:ascii="仿宋" w:hAnsi="仿宋" w:eastAsia="仿宋" w:cs="仿宋"/>
          <w:color w:val="000000"/>
          <w:kern w:val="0"/>
          <w:sz w:val="32"/>
          <w:szCs w:val="32"/>
          <w:highlight w:val="none"/>
          <w:u w:val="none"/>
          <w:shd w:val="clear" w:color="auto" w:fill="FFFFFF"/>
        </w:rPr>
        <w:t>绩效</w:t>
      </w:r>
      <w:r>
        <w:rPr>
          <w:rFonts w:hint="eastAsia" w:ascii="仿宋" w:hAnsi="仿宋" w:eastAsia="仿宋" w:cs="仿宋"/>
          <w:color w:val="000000"/>
          <w:kern w:val="0"/>
          <w:sz w:val="32"/>
          <w:szCs w:val="32"/>
          <w:highlight w:val="none"/>
          <w:u w:val="none"/>
          <w:shd w:val="clear" w:color="auto" w:fill="FFFFFF"/>
          <w:lang w:eastAsia="zh-CN"/>
        </w:rPr>
        <w:t>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（一）部门预算总体绩效分析。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en-US" w:eastAsia="zh-CN"/>
        </w:rPr>
      </w:pPr>
      <w:r>
        <w:rPr>
          <w:rFonts w:hint="eastAsia" w:ascii="仿宋" w:hAnsi="仿宋" w:eastAsia="仿宋" w:cs="仿宋"/>
          <w:b w:val="0"/>
          <w:bCs w:val="0"/>
          <w:color w:val="000000"/>
          <w:kern w:val="0"/>
          <w:sz w:val="32"/>
          <w:szCs w:val="32"/>
          <w:highlight w:val="none"/>
          <w:shd w:val="clear" w:color="auto" w:fill="FFFFFF"/>
          <w:lang w:val="en-US" w:eastAsia="zh-CN"/>
        </w:rPr>
        <w:t>我局根据部门预算绩效评价指标体系“总体绩效”涉及二、三级指标进行逐项绩效分析并评分，依次就履职效能、预算管理、财务管理、资产管理、采购管理等情况分析如下。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color w:val="000000"/>
          <w:kern w:val="0"/>
          <w:sz w:val="32"/>
          <w:szCs w:val="32"/>
          <w:highlight w:val="none"/>
          <w:shd w:val="clear" w:color="auto" w:fill="FFFFFF"/>
          <w:lang w:val="zh-CN"/>
        </w:rPr>
        <w:t>履职效能</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2" w:firstLineChars="200"/>
        <w:jc w:val="both"/>
        <w:textAlignment w:val="auto"/>
        <w:rPr>
          <w:rFonts w:hint="eastAsia" w:ascii="仿宋" w:hAnsi="仿宋" w:eastAsia="仿宋" w:cs="仿宋"/>
          <w:b/>
          <w:bCs/>
          <w:color w:val="000000"/>
          <w:kern w:val="2"/>
          <w:sz w:val="32"/>
          <w:szCs w:val="32"/>
          <w:u w:color="000000"/>
          <w:lang w:val="zh-CN" w:eastAsia="zh-CN" w:bidi="ar"/>
        </w:rPr>
      </w:pPr>
      <w:r>
        <w:rPr>
          <w:rFonts w:hint="eastAsia" w:ascii="仿宋" w:hAnsi="仿宋" w:eastAsia="仿宋" w:cs="仿宋"/>
          <w:b/>
          <w:bCs/>
          <w:color w:val="000000"/>
          <w:kern w:val="0"/>
          <w:sz w:val="32"/>
          <w:szCs w:val="32"/>
          <w:highlight w:val="none"/>
          <w:u w:color="000000"/>
          <w:shd w:val="clear" w:color="auto" w:fill="FFFFFF"/>
          <w:lang w:val="en-US" w:eastAsia="zh-CN" w:bidi="ar-SA"/>
        </w:rPr>
        <w:t>（1）贯彻落实中央和部、省、州重大部署情况。</w:t>
      </w:r>
      <w:r>
        <w:rPr>
          <w:rFonts w:hint="eastAsia" w:ascii="仿宋" w:hAnsi="仿宋" w:eastAsia="仿宋" w:cs="仿宋"/>
          <w:color w:val="000000"/>
          <w:kern w:val="2"/>
          <w:sz w:val="32"/>
          <w:szCs w:val="32"/>
          <w:u w:color="000000"/>
          <w:lang w:val="en-US" w:eastAsia="zh-CN" w:bidi="ar"/>
        </w:rPr>
        <w:t>深入学习贯彻习近平总书记关于加快建设交通强国的重要论述和来川视察重要指示精神，全面落实“交通强国”“交通强省”“交通强州”战略部署，立足“四向通道、全域拓展”新格局，加快推进“两横三纵”主通道建设，抢抓“县县通高速”战略契机，启动S28茂县经黑水至红原高速公路前期工作，G347线茂红路、S446线扎红隧道、S446线松黑路稳步有序推进，S447线热卡路、S449线达古冰川连接线项目开工建设，全力破除交通发展瓶颈。同时，在2022年成功创建“四好农村路”省级示范县的基础上，高标准高品质高水平建设美丽乡村路，进一步做实农村公路管理养护绩效考核，大力培育全国“四好农村路”示范县，全力推进以“基层执法队伍职业化、基层执法站所标准化、基础管理制度规范化、基层执法工作信息化”为内容的“四基四化”建设，积极争创省级乡村运输“金通工程”样板县，切实提升我县交通运输服务水平。</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2" w:firstLineChars="200"/>
        <w:jc w:val="both"/>
        <w:textAlignment w:val="auto"/>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2"/>
          <w:sz w:val="32"/>
          <w:szCs w:val="32"/>
          <w:u w:color="000000"/>
          <w:lang w:val="zh-CN" w:eastAsia="zh-CN" w:bidi="ar"/>
        </w:rPr>
        <w:t>（</w:t>
      </w:r>
      <w:r>
        <w:rPr>
          <w:rFonts w:hint="eastAsia" w:ascii="仿宋" w:hAnsi="仿宋" w:eastAsia="仿宋" w:cs="仿宋"/>
          <w:b/>
          <w:bCs/>
          <w:color w:val="000000"/>
          <w:kern w:val="2"/>
          <w:sz w:val="32"/>
          <w:szCs w:val="32"/>
          <w:u w:color="000000"/>
          <w:lang w:val="en-US" w:eastAsia="zh-CN" w:bidi="ar"/>
        </w:rPr>
        <w:t>2</w:t>
      </w:r>
      <w:r>
        <w:rPr>
          <w:rFonts w:hint="eastAsia" w:ascii="仿宋" w:hAnsi="仿宋" w:eastAsia="仿宋" w:cs="仿宋"/>
          <w:b/>
          <w:bCs/>
          <w:color w:val="000000"/>
          <w:kern w:val="2"/>
          <w:sz w:val="32"/>
          <w:szCs w:val="32"/>
          <w:u w:color="000000"/>
          <w:lang w:val="zh-CN" w:eastAsia="zh-CN" w:bidi="ar"/>
        </w:rPr>
        <w:t>）</w:t>
      </w:r>
      <w:r>
        <w:rPr>
          <w:rFonts w:hint="eastAsia" w:ascii="仿宋" w:hAnsi="仿宋" w:eastAsia="仿宋" w:cs="仿宋"/>
          <w:b/>
          <w:bCs/>
          <w:color w:val="000000"/>
          <w:kern w:val="2"/>
          <w:sz w:val="32"/>
          <w:szCs w:val="32"/>
          <w:u w:color="000000"/>
          <w:lang w:val="en-US" w:eastAsia="zh-CN" w:bidi="ar"/>
        </w:rPr>
        <w:t>交通重点项目建设情况。一是</w:t>
      </w:r>
      <w:r>
        <w:rPr>
          <w:rFonts w:hint="eastAsia" w:ascii="仿宋" w:hAnsi="仿宋" w:eastAsia="仿宋" w:cs="仿宋"/>
          <w:color w:val="000000"/>
          <w:kern w:val="2"/>
          <w:sz w:val="32"/>
          <w:szCs w:val="32"/>
          <w:u w:color="000000"/>
          <w:lang w:val="en-US" w:eastAsia="zh-CN" w:bidi="ar"/>
        </w:rPr>
        <w:t>投资109亿元的</w:t>
      </w:r>
      <w:r>
        <w:rPr>
          <w:rFonts w:hint="eastAsia" w:ascii="仿宋" w:hAnsi="仿宋" w:eastAsia="仿宋" w:cs="仿宋"/>
          <w:b/>
          <w:bCs/>
          <w:color w:val="000000"/>
          <w:kern w:val="2"/>
          <w:sz w:val="32"/>
          <w:szCs w:val="32"/>
          <w:u w:color="000000"/>
          <w:lang w:val="en-US" w:eastAsia="zh-CN" w:bidi="ar"/>
        </w:rPr>
        <w:t>S28茂县经黑水至红原高速公路项目</w:t>
      </w:r>
      <w:r>
        <w:rPr>
          <w:rFonts w:hint="eastAsia" w:ascii="仿宋" w:hAnsi="仿宋" w:eastAsia="仿宋" w:cs="仿宋"/>
          <w:color w:val="000000"/>
          <w:kern w:val="2"/>
          <w:sz w:val="32"/>
          <w:szCs w:val="32"/>
          <w:u w:color="000000"/>
          <w:lang w:val="en-US" w:eastAsia="zh-CN" w:bidi="ar"/>
        </w:rPr>
        <w:t>启动前期工作，工可报告（送审稿）已送交省交通运输厅规划处，力争早日开工建设；</w:t>
      </w:r>
      <w:r>
        <w:rPr>
          <w:rFonts w:hint="eastAsia" w:ascii="仿宋" w:hAnsi="仿宋" w:eastAsia="仿宋" w:cs="仿宋"/>
          <w:b/>
          <w:bCs/>
          <w:color w:val="000000"/>
          <w:kern w:val="2"/>
          <w:sz w:val="32"/>
          <w:szCs w:val="32"/>
          <w:u w:color="000000"/>
          <w:lang w:val="en-US" w:eastAsia="zh-CN" w:bidi="ar"/>
        </w:rPr>
        <w:t>二是</w:t>
      </w:r>
      <w:r>
        <w:rPr>
          <w:rFonts w:hint="eastAsia" w:ascii="仿宋" w:hAnsi="仿宋" w:eastAsia="仿宋" w:cs="仿宋"/>
          <w:color w:val="000000"/>
          <w:kern w:val="2"/>
          <w:sz w:val="32"/>
          <w:szCs w:val="32"/>
          <w:u w:color="000000"/>
          <w:lang w:val="en-US" w:eastAsia="zh-CN" w:bidi="ar"/>
        </w:rPr>
        <w:t>概算投资28.95亿元的</w:t>
      </w:r>
      <w:r>
        <w:rPr>
          <w:rFonts w:hint="eastAsia" w:ascii="仿宋" w:hAnsi="仿宋" w:eastAsia="仿宋" w:cs="仿宋"/>
          <w:b/>
          <w:bCs/>
          <w:color w:val="000000"/>
          <w:kern w:val="2"/>
          <w:sz w:val="32"/>
          <w:szCs w:val="32"/>
          <w:u w:color="000000"/>
          <w:lang w:val="en-US" w:eastAsia="zh-CN" w:bidi="ar"/>
        </w:rPr>
        <w:t>G347线茂红路提升改造工程</w:t>
      </w:r>
      <w:r>
        <w:rPr>
          <w:rFonts w:hint="eastAsia" w:ascii="仿宋" w:hAnsi="仿宋" w:eastAsia="仿宋" w:cs="仿宋"/>
          <w:color w:val="000000"/>
          <w:kern w:val="2"/>
          <w:sz w:val="32"/>
          <w:szCs w:val="32"/>
          <w:u w:color="000000"/>
          <w:lang w:val="en-US" w:eastAsia="zh-CN" w:bidi="ar"/>
        </w:rPr>
        <w:t>于2019年6月开工建设，其主体工程于2022年10月全部建成，剩余配套设施、养护站建设于2023年9月底完成。</w:t>
      </w:r>
      <w:r>
        <w:rPr>
          <w:rFonts w:hint="eastAsia" w:ascii="仿宋" w:hAnsi="仿宋" w:eastAsia="仿宋" w:cs="仿宋"/>
          <w:b/>
          <w:bCs/>
          <w:color w:val="000000"/>
          <w:kern w:val="2"/>
          <w:sz w:val="32"/>
          <w:szCs w:val="32"/>
          <w:u w:color="000000"/>
          <w:lang w:val="en-US" w:eastAsia="zh-CN" w:bidi="ar"/>
        </w:rPr>
        <w:t>三是</w:t>
      </w:r>
      <w:r>
        <w:rPr>
          <w:rFonts w:hint="eastAsia" w:ascii="仿宋" w:hAnsi="仿宋" w:eastAsia="仿宋" w:cs="仿宋"/>
          <w:color w:val="000000"/>
          <w:kern w:val="2"/>
          <w:sz w:val="32"/>
          <w:szCs w:val="32"/>
          <w:u w:color="000000"/>
          <w:lang w:val="en-US" w:eastAsia="zh-CN" w:bidi="ar"/>
        </w:rPr>
        <w:t>概算总投资6.83亿元的</w:t>
      </w:r>
      <w:r>
        <w:rPr>
          <w:rFonts w:hint="eastAsia" w:ascii="仿宋" w:hAnsi="仿宋" w:eastAsia="仿宋" w:cs="仿宋"/>
          <w:b/>
          <w:bCs/>
          <w:color w:val="000000"/>
          <w:kern w:val="2"/>
          <w:sz w:val="32"/>
          <w:szCs w:val="32"/>
          <w:u w:color="000000"/>
          <w:lang w:val="en-US" w:eastAsia="zh-CN" w:bidi="ar"/>
        </w:rPr>
        <w:t>S446线扎红隧道新建工程</w:t>
      </w:r>
      <w:r>
        <w:rPr>
          <w:rFonts w:hint="eastAsia" w:ascii="仿宋" w:hAnsi="仿宋" w:eastAsia="仿宋" w:cs="仿宋"/>
          <w:color w:val="000000"/>
          <w:kern w:val="2"/>
          <w:sz w:val="32"/>
          <w:szCs w:val="32"/>
          <w:u w:color="000000"/>
          <w:lang w:val="en-US" w:eastAsia="zh-CN" w:bidi="ar"/>
        </w:rPr>
        <w:t>2023年完成投资8918.92万元，占年度投资计划的148.6%；累计完成投资6.82亿元，占总投资的99%，正在开展交安、剩余附属工程等施工工作，计划2024年年初进行交工验收。</w:t>
      </w:r>
      <w:r>
        <w:rPr>
          <w:rFonts w:hint="eastAsia" w:ascii="仿宋" w:hAnsi="仿宋" w:eastAsia="仿宋" w:cs="仿宋"/>
          <w:b/>
          <w:bCs/>
          <w:color w:val="000000"/>
          <w:kern w:val="2"/>
          <w:sz w:val="32"/>
          <w:szCs w:val="32"/>
          <w:u w:color="000000"/>
          <w:lang w:val="en-US" w:eastAsia="zh-CN" w:bidi="ar"/>
        </w:rPr>
        <w:t>四是</w:t>
      </w:r>
      <w:r>
        <w:rPr>
          <w:rFonts w:hint="eastAsia" w:ascii="仿宋" w:hAnsi="仿宋" w:eastAsia="仿宋" w:cs="仿宋"/>
          <w:color w:val="000000"/>
          <w:kern w:val="2"/>
          <w:sz w:val="32"/>
          <w:szCs w:val="32"/>
          <w:u w:color="000000"/>
          <w:lang w:val="en-US" w:eastAsia="zh-CN" w:bidi="ar"/>
        </w:rPr>
        <w:t>投资5.67亿元的</w:t>
      </w:r>
      <w:r>
        <w:rPr>
          <w:rFonts w:hint="eastAsia" w:ascii="仿宋" w:hAnsi="仿宋" w:eastAsia="仿宋" w:cs="仿宋"/>
          <w:b/>
          <w:bCs/>
          <w:color w:val="000000"/>
          <w:kern w:val="2"/>
          <w:sz w:val="32"/>
          <w:szCs w:val="32"/>
          <w:u w:color="000000"/>
          <w:lang w:val="en-US" w:eastAsia="zh-CN" w:bidi="ar"/>
        </w:rPr>
        <w:t>S446线松潘县草原乡至黑水县麻窝乡提升改造工程</w:t>
      </w:r>
      <w:r>
        <w:rPr>
          <w:rFonts w:hint="eastAsia" w:ascii="仿宋" w:hAnsi="仿宋" w:eastAsia="仿宋" w:cs="仿宋"/>
          <w:color w:val="000000"/>
          <w:kern w:val="2"/>
          <w:sz w:val="32"/>
          <w:szCs w:val="32"/>
          <w:u w:color="000000"/>
          <w:lang w:val="en-US" w:eastAsia="zh-CN" w:bidi="ar"/>
        </w:rPr>
        <w:t>2023年完成投资1.9亿元，占年度计划投资的100.3%；自开工累计完成投资4.08亿元，占总投资的72%，春季复工后将开展路面、交安、绿化等施工工作，</w:t>
      </w:r>
      <w:r>
        <w:rPr>
          <w:rFonts w:hint="eastAsia" w:ascii="仿宋" w:hAnsi="仿宋" w:eastAsia="仿宋" w:cs="仿宋"/>
          <w:bCs/>
          <w:color w:val="000000"/>
          <w:kern w:val="2"/>
          <w:sz w:val="32"/>
          <w:szCs w:val="32"/>
          <w:u w:color="000000"/>
          <w:lang w:val="en-US" w:eastAsia="zh-CN" w:bidi="ar"/>
        </w:rPr>
        <w:t>预计2024年内完工</w:t>
      </w:r>
      <w:r>
        <w:rPr>
          <w:rFonts w:hint="eastAsia" w:ascii="仿宋" w:hAnsi="仿宋" w:eastAsia="仿宋" w:cs="仿宋"/>
          <w:color w:val="000000"/>
          <w:kern w:val="2"/>
          <w:sz w:val="32"/>
          <w:szCs w:val="32"/>
          <w:u w:color="000000"/>
          <w:lang w:val="en-US" w:eastAsia="zh-CN" w:bidi="ar"/>
        </w:rPr>
        <w:t>。</w:t>
      </w:r>
      <w:r>
        <w:rPr>
          <w:rFonts w:hint="eastAsia" w:ascii="仿宋" w:hAnsi="仿宋" w:eastAsia="仿宋" w:cs="仿宋"/>
          <w:b/>
          <w:bCs/>
          <w:color w:val="000000"/>
          <w:kern w:val="2"/>
          <w:sz w:val="32"/>
          <w:szCs w:val="32"/>
          <w:u w:color="000000"/>
          <w:lang w:val="en-US" w:eastAsia="zh-CN" w:bidi="ar"/>
        </w:rPr>
        <w:t>五是</w:t>
      </w:r>
      <w:r>
        <w:rPr>
          <w:rFonts w:hint="eastAsia" w:ascii="仿宋" w:hAnsi="仿宋" w:eastAsia="仿宋" w:cs="仿宋"/>
          <w:color w:val="000000"/>
          <w:kern w:val="2"/>
          <w:sz w:val="32"/>
          <w:szCs w:val="32"/>
          <w:u w:color="000000"/>
          <w:lang w:val="en-US" w:eastAsia="zh-CN" w:bidi="ar"/>
        </w:rPr>
        <w:t>投资2.41亿元的</w:t>
      </w:r>
      <w:r>
        <w:rPr>
          <w:rFonts w:hint="eastAsia" w:ascii="仿宋" w:hAnsi="仿宋" w:eastAsia="仿宋" w:cs="仿宋"/>
          <w:b/>
          <w:bCs/>
          <w:color w:val="000000"/>
          <w:kern w:val="2"/>
          <w:sz w:val="32"/>
          <w:szCs w:val="32"/>
          <w:u w:color="000000"/>
          <w:lang w:val="en-US" w:eastAsia="zh-CN" w:bidi="ar"/>
        </w:rPr>
        <w:t>S447线黑水县热里至卡龙沟段改建工程</w:t>
      </w:r>
      <w:r>
        <w:rPr>
          <w:rFonts w:hint="eastAsia" w:ascii="仿宋" w:hAnsi="仿宋" w:eastAsia="仿宋" w:cs="仿宋"/>
          <w:color w:val="000000"/>
          <w:kern w:val="2"/>
          <w:sz w:val="32"/>
          <w:szCs w:val="32"/>
          <w:u w:color="000000"/>
          <w:lang w:val="en-US" w:eastAsia="zh-CN" w:bidi="ar"/>
        </w:rPr>
        <w:t>于2023年9月开工建设，完成投资1844.4万元，占年度计划投资的26.3%，占总投资的7.6%，春季复工后将开展桥梁、挡防、路基等施工工作，</w:t>
      </w:r>
      <w:r>
        <w:rPr>
          <w:rFonts w:hint="eastAsia" w:ascii="仿宋" w:hAnsi="仿宋" w:eastAsia="仿宋" w:cs="仿宋"/>
          <w:bCs/>
          <w:color w:val="000000"/>
          <w:kern w:val="2"/>
          <w:sz w:val="32"/>
          <w:szCs w:val="32"/>
          <w:u w:color="000000"/>
          <w:lang w:val="en-US" w:eastAsia="zh-CN" w:bidi="ar"/>
        </w:rPr>
        <w:t>预计2024年内完工</w:t>
      </w:r>
      <w:r>
        <w:rPr>
          <w:rFonts w:hint="eastAsia" w:ascii="仿宋" w:hAnsi="仿宋" w:eastAsia="仿宋" w:cs="仿宋"/>
          <w:color w:val="000000"/>
          <w:kern w:val="2"/>
          <w:sz w:val="32"/>
          <w:szCs w:val="32"/>
          <w:u w:color="000000"/>
          <w:lang w:val="en-US" w:eastAsia="zh-CN" w:bidi="ar"/>
        </w:rPr>
        <w:t>。</w:t>
      </w:r>
      <w:r>
        <w:rPr>
          <w:rFonts w:hint="eastAsia" w:ascii="仿宋" w:hAnsi="仿宋" w:eastAsia="仿宋" w:cs="仿宋"/>
          <w:b/>
          <w:bCs/>
          <w:color w:val="000000"/>
          <w:kern w:val="2"/>
          <w:sz w:val="32"/>
          <w:szCs w:val="32"/>
          <w:u w:color="000000"/>
          <w:lang w:val="en-US" w:eastAsia="zh-CN" w:bidi="ar"/>
        </w:rPr>
        <w:t>六是</w:t>
      </w:r>
      <w:r>
        <w:rPr>
          <w:rFonts w:hint="eastAsia" w:ascii="仿宋" w:hAnsi="仿宋" w:eastAsia="仿宋" w:cs="仿宋"/>
          <w:color w:val="000000"/>
          <w:kern w:val="2"/>
          <w:sz w:val="32"/>
          <w:szCs w:val="32"/>
          <w:u w:color="000000"/>
          <w:lang w:val="en-US" w:eastAsia="zh-CN" w:bidi="ar"/>
        </w:rPr>
        <w:t>投资5191.56万元的</w:t>
      </w:r>
      <w:r>
        <w:rPr>
          <w:rFonts w:hint="eastAsia" w:ascii="仿宋" w:hAnsi="仿宋" w:eastAsia="仿宋" w:cs="仿宋"/>
          <w:b/>
          <w:bCs/>
          <w:color w:val="000000"/>
          <w:kern w:val="2"/>
          <w:sz w:val="32"/>
          <w:szCs w:val="32"/>
          <w:u w:color="000000"/>
          <w:lang w:val="en-US" w:eastAsia="zh-CN" w:bidi="ar"/>
        </w:rPr>
        <w:t>S449线达古冰川连接线项目</w:t>
      </w:r>
      <w:r>
        <w:rPr>
          <w:rFonts w:hint="eastAsia" w:ascii="仿宋" w:hAnsi="仿宋" w:eastAsia="仿宋" w:cs="仿宋"/>
          <w:bCs/>
          <w:color w:val="000000"/>
          <w:kern w:val="2"/>
          <w:sz w:val="32"/>
          <w:szCs w:val="32"/>
          <w:u w:color="000000"/>
          <w:lang w:val="en-US" w:eastAsia="zh-CN" w:bidi="ar"/>
        </w:rPr>
        <w:t>于2023年10月底开工建设，预计2024年内完工。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0"/>
          <w:sz w:val="32"/>
          <w:szCs w:val="32"/>
          <w:highlight w:val="none"/>
          <w:shd w:val="clear" w:color="auto" w:fill="FFFFFF"/>
          <w:lang w:val="en-US" w:eastAsia="zh-CN" w:bidi="ar-SA"/>
        </w:rPr>
        <w:t>（3）乡村振兴战略实施情况</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000000"/>
          <w:kern w:val="2"/>
          <w:sz w:val="32"/>
          <w:szCs w:val="32"/>
          <w:u w:color="000000"/>
          <w:lang w:val="en-US" w:eastAsia="zh-CN" w:bidi="ar"/>
        </w:rPr>
        <w:t xml:space="preserve">按照《2023年农村公路建设工作要点》要求，下达6.1公里美丽乡村路建设任务，2023年建成美丽乡村路15.635公里，其中：芦花镇谷汝村幸福美丽乡村路8公里、黑水县奶子沟彩林风景区道路（马河坝、银针）建设项目7.635公里，已完成目标任务；下达1座危桥改造任务，黑水县西苏瓜子村桥桥梁病害维修整治工程于2023年11月开工，2023年12月完工，已完成目标任务；下达8.2公里村道安防工程建设任务，2023年新增农村公路安防设施19公里，已完成目标任务；下达19.367公里次差等路整治任务，其中：2022年整治路段5.33公里、2023年整治路段14.037公里，黑水县2023年农村路路面整治工程于2023年7月开工，2023年11月完工，已完成目标任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color w:val="000000"/>
          <w:kern w:val="2"/>
          <w:sz w:val="32"/>
          <w:szCs w:val="32"/>
          <w:u w:color="000000"/>
          <w:lang w:val="en-US" w:eastAsia="zh-CN" w:bidi="ar"/>
        </w:rPr>
      </w:pPr>
      <w:r>
        <w:rPr>
          <w:rFonts w:hint="eastAsia" w:ascii="仿宋" w:hAnsi="仿宋" w:eastAsia="仿宋" w:cs="仿宋"/>
          <w:b/>
          <w:bCs/>
          <w:color w:val="000000"/>
          <w:kern w:val="0"/>
          <w:sz w:val="32"/>
          <w:szCs w:val="32"/>
          <w:highlight w:val="none"/>
          <w:shd w:val="clear" w:color="auto" w:fill="FFFFFF"/>
          <w:lang w:val="zh-CN" w:eastAsia="zh-CN" w:bidi="ar-SA"/>
        </w:rPr>
        <w:t>（</w:t>
      </w:r>
      <w:r>
        <w:rPr>
          <w:rFonts w:hint="eastAsia" w:ascii="仿宋" w:hAnsi="仿宋" w:eastAsia="仿宋" w:cs="仿宋"/>
          <w:b/>
          <w:bCs/>
          <w:color w:val="000000"/>
          <w:kern w:val="0"/>
          <w:sz w:val="32"/>
          <w:szCs w:val="32"/>
          <w:highlight w:val="none"/>
          <w:shd w:val="clear" w:color="auto" w:fill="FFFFFF"/>
          <w:lang w:val="en-US" w:eastAsia="zh-CN" w:bidi="ar-SA"/>
        </w:rPr>
        <w:t>4</w:t>
      </w:r>
      <w:r>
        <w:rPr>
          <w:rFonts w:hint="eastAsia" w:ascii="仿宋" w:hAnsi="仿宋" w:eastAsia="仿宋" w:cs="仿宋"/>
          <w:b/>
          <w:bCs/>
          <w:color w:val="000000"/>
          <w:kern w:val="0"/>
          <w:sz w:val="32"/>
          <w:szCs w:val="32"/>
          <w:highlight w:val="none"/>
          <w:shd w:val="clear" w:color="auto" w:fill="FFFFFF"/>
          <w:lang w:val="zh-CN" w:eastAsia="zh-CN" w:bidi="ar-SA"/>
        </w:rPr>
        <w:t>）</w:t>
      </w:r>
      <w:r>
        <w:rPr>
          <w:rFonts w:hint="eastAsia" w:ascii="仿宋" w:hAnsi="仿宋" w:eastAsia="仿宋" w:cs="仿宋"/>
          <w:b/>
          <w:bCs/>
          <w:kern w:val="2"/>
          <w:sz w:val="32"/>
          <w:szCs w:val="32"/>
          <w:lang w:eastAsia="zh-CN"/>
        </w:rPr>
        <w:t>大力整治路域环境</w:t>
      </w:r>
      <w:r>
        <w:rPr>
          <w:rFonts w:hint="eastAsia" w:ascii="仿宋" w:hAnsi="仿宋" w:eastAsia="仿宋" w:cs="仿宋"/>
          <w:b/>
          <w:bCs/>
          <w:color w:val="000000"/>
          <w:kern w:val="0"/>
          <w:sz w:val="32"/>
          <w:szCs w:val="32"/>
          <w:highlight w:val="none"/>
          <w:shd w:val="clear" w:color="auto" w:fill="FFFFFF"/>
          <w:lang w:val="en-US" w:eastAsia="zh-CN" w:bidi="ar-SA"/>
        </w:rPr>
        <w:t>。</w:t>
      </w:r>
      <w:r>
        <w:rPr>
          <w:rFonts w:hint="eastAsia" w:ascii="仿宋" w:hAnsi="仿宋" w:eastAsia="仿宋" w:cs="仿宋"/>
          <w:color w:val="000000"/>
          <w:kern w:val="2"/>
          <w:sz w:val="32"/>
          <w:szCs w:val="32"/>
          <w:u w:color="000000"/>
          <w:lang w:val="en-US" w:eastAsia="zh-CN" w:bidi="ar"/>
        </w:rPr>
        <w:t>以阿坝州建州70周年庆祝活动和2023年阿坝州文化和旅游发展大会暨全域旅游发展大会为契机，联合交警、旅游、公路等部门对县域内道路全面开展路域环境综合整治行动，共清扫公路路面12.36万平方米，清理边沟、涵洞4.25万米，清理公路白色垃圾42吨，更换交通标识标牌47个，整治渣土车超载撒漏、带泥上路、不盖篷布、随意倾倒等违法违规行为27起，着力营造整洁优美、安全畅通、舒适宜人的路域环境。</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highlight w:val="none"/>
          <w:shd w:val="clear" w:color="auto" w:fill="FFFFFF"/>
          <w:lang w:val="en-US" w:eastAsia="zh-CN" w:bidi="ar-SA"/>
        </w:rPr>
        <w:t>（五）</w:t>
      </w:r>
      <w:r>
        <w:rPr>
          <w:rFonts w:hint="eastAsia" w:ascii="仿宋" w:hAnsi="仿宋" w:eastAsia="仿宋" w:cs="仿宋"/>
          <w:b/>
          <w:bCs/>
          <w:kern w:val="2"/>
          <w:sz w:val="32"/>
          <w:szCs w:val="32"/>
          <w:lang w:val="en-US" w:eastAsia="zh-CN" w:bidi="ar"/>
        </w:rPr>
        <w:t>加大交通执法力度</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000000"/>
          <w:kern w:val="2"/>
          <w:sz w:val="32"/>
          <w:szCs w:val="32"/>
          <w:u w:color="000000"/>
          <w:lang w:val="en-US" w:eastAsia="zh-CN" w:bidi="ar"/>
        </w:rPr>
        <w:t>强化“两客一危一货”等重点车辆安全监管，严查过境营运车辆超员载客、疲劳驾驶、无证驾驶、非法改装等交通违法行为，出动交通执法人员180余人次，出动执法车辆80辆次，上路稽查42次，检查各类过境客货车辆900余辆，查处各类违法违规行为7起，行政处罚2.92万元，着力营造良好的道路运输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2.</w:t>
      </w:r>
      <w:r>
        <w:rPr>
          <w:rFonts w:hint="eastAsia" w:ascii="仿宋" w:hAnsi="仿宋" w:eastAsia="仿宋" w:cs="仿宋"/>
          <w:b/>
          <w:bCs/>
          <w:color w:val="000000"/>
          <w:kern w:val="0"/>
          <w:sz w:val="32"/>
          <w:szCs w:val="32"/>
          <w:highlight w:val="none"/>
          <w:shd w:val="clear" w:color="auto" w:fill="FFFFFF"/>
          <w:lang w:val="zh-CN"/>
        </w:rPr>
        <w:t>财务管理。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（1）财务管理制度</w:t>
      </w:r>
      <w:r>
        <w:rPr>
          <w:rFonts w:hint="eastAsia" w:ascii="仿宋" w:hAnsi="仿宋" w:eastAsia="仿宋" w:cs="仿宋"/>
          <w:i w:val="0"/>
          <w:iCs w:val="0"/>
          <w:caps w:val="0"/>
          <w:color w:val="000000"/>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交通局已建立财务管理制度，且各项经济业务均严格按照财务管理制度执行。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（2）财务岗位设置</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交通局合理设置财务工作岗位，明确职责权限，并严格执行不相容岗位分离原则。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（3）资金使用规范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我局不存在超预算或无预算安排、虚列支出、超范围超标准使用经费、违规使用“三公”经费、滥发津补贴、报销不合规等情况</w:t>
      </w:r>
      <w:r>
        <w:rPr>
          <w:rFonts w:hint="eastAsia" w:ascii="仿宋" w:hAnsi="仿宋" w:eastAsia="仿宋" w:cs="仿宋"/>
          <w:i w:val="0"/>
          <w:iCs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4.</w:t>
      </w:r>
      <w:r>
        <w:rPr>
          <w:rFonts w:hint="eastAsia" w:ascii="仿宋" w:hAnsi="仿宋" w:eastAsia="仿宋" w:cs="仿宋"/>
          <w:b/>
          <w:bCs/>
          <w:color w:val="000000"/>
          <w:kern w:val="0"/>
          <w:sz w:val="32"/>
          <w:szCs w:val="32"/>
          <w:highlight w:val="none"/>
          <w:shd w:val="clear" w:color="auto" w:fill="FFFFFF"/>
          <w:lang w:val="zh-CN"/>
        </w:rPr>
        <w:t>采购管理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contextualSpacing/>
        <w:jc w:val="both"/>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zh-CN"/>
        </w:rPr>
        <w:t>围绕支持中小企业发展、采购执行率进行绩效分析。对适宜由中小企业提供的采购项目和采购包，预留采购份额专门面向中小企业采购，并在采购预算中单独列示。部门政府采购项目资金支付比例情况，当年政府采购实际支付总金额</w:t>
      </w:r>
      <w:r>
        <w:rPr>
          <w:rFonts w:hint="eastAsia" w:ascii="仿宋" w:hAnsi="仿宋" w:eastAsia="仿宋" w:cs="仿宋"/>
          <w:color w:val="000000"/>
          <w:kern w:val="0"/>
          <w:sz w:val="32"/>
          <w:szCs w:val="32"/>
          <w:highlight w:val="none"/>
          <w:shd w:val="clear" w:color="auto" w:fill="FFFFFF"/>
          <w:lang w:val="en-US" w:eastAsia="zh-CN"/>
        </w:rPr>
        <w:t>938.39</w:t>
      </w:r>
      <w:r>
        <w:rPr>
          <w:rFonts w:hint="eastAsia" w:ascii="仿宋" w:hAnsi="仿宋" w:eastAsia="仿宋" w:cs="仿宋"/>
          <w:color w:val="000000"/>
          <w:kern w:val="0"/>
          <w:sz w:val="32"/>
          <w:szCs w:val="32"/>
          <w:highlight w:val="none"/>
          <w:shd w:val="clear" w:color="auto" w:fill="FFFFFF"/>
          <w:lang w:val="zh-CN"/>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en-US" w:eastAsia="zh-CN"/>
        </w:rPr>
        <w:t>5.实现效果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lang w:val="en-US" w:eastAsia="zh-CN"/>
        </w:rPr>
        <w:t>项目的实施对进一步巩</w:t>
      </w:r>
      <w:r>
        <w:rPr>
          <w:rFonts w:hint="eastAsia" w:ascii="仿宋" w:hAnsi="仿宋" w:eastAsia="仿宋" w:cs="仿宋"/>
          <w:color w:val="000000"/>
          <w:sz w:val="32"/>
          <w:szCs w:val="32"/>
        </w:rPr>
        <w:t>固</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基础设施建设成果，加强和规范</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公共基础设，发挥</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公共基础设施效能，</w:t>
      </w:r>
      <w:r>
        <w:rPr>
          <w:rFonts w:hint="eastAsia" w:ascii="仿宋" w:hAnsi="仿宋" w:eastAsia="仿宋" w:cs="仿宋"/>
          <w:color w:val="000000"/>
          <w:sz w:val="32"/>
          <w:szCs w:val="32"/>
          <w:shd w:val="clear" w:color="auto" w:fill="FFFFFF"/>
        </w:rPr>
        <w:t>推进城乡基础设施共建共享、互联互通，完善管护运行机制</w:t>
      </w:r>
      <w:r>
        <w:rPr>
          <w:rFonts w:hint="eastAsia" w:ascii="仿宋" w:hAnsi="仿宋" w:eastAsia="仿宋" w:cs="仿宋"/>
          <w:color w:val="000000"/>
          <w:sz w:val="32"/>
          <w:szCs w:val="32"/>
          <w:shd w:val="clear" w:color="auto" w:fill="FFFFFF"/>
          <w:lang w:val="en-US" w:eastAsia="zh-CN"/>
        </w:rPr>
        <w:t>起到积极作用</w:t>
      </w:r>
      <w:r>
        <w:rPr>
          <w:rFonts w:hint="eastAsia" w:ascii="仿宋" w:hAnsi="仿宋" w:eastAsia="仿宋" w:cs="仿宋"/>
          <w:color w:val="000000"/>
          <w:sz w:val="32"/>
          <w:szCs w:val="32"/>
          <w:shd w:val="clear" w:color="auto" w:fill="FFFFFF"/>
        </w:rPr>
        <w:t>。</w:t>
      </w:r>
      <w:r>
        <w:rPr>
          <w:rFonts w:hint="eastAsia" w:ascii="仿宋" w:hAnsi="仿宋" w:eastAsia="仿宋" w:cs="仿宋"/>
          <w:b w:val="0"/>
          <w:bCs w:val="0"/>
          <w:sz w:val="32"/>
          <w:szCs w:val="32"/>
          <w:lang w:val="en-US" w:eastAsia="zh-CN"/>
        </w:rPr>
        <w:t>黑水县</w:t>
      </w:r>
      <w:r>
        <w:rPr>
          <w:rFonts w:hint="eastAsia" w:ascii="仿宋" w:hAnsi="仿宋" w:eastAsia="仿宋" w:cs="仿宋"/>
          <w:sz w:val="32"/>
          <w:szCs w:val="32"/>
        </w:rPr>
        <w:t>深入贯彻落实习近平总书记关于“四好农村路”的重要指示批示精神，</w:t>
      </w:r>
      <w:r>
        <w:rPr>
          <w:rFonts w:hint="eastAsia" w:ascii="仿宋" w:hAnsi="仿宋" w:eastAsia="仿宋" w:cs="仿宋"/>
          <w:b w:val="0"/>
          <w:bCs w:val="0"/>
          <w:sz w:val="32"/>
          <w:szCs w:val="32"/>
          <w:lang w:val="en-US" w:eastAsia="zh-CN"/>
        </w:rPr>
        <w:t>在交通运输部的定点帮扶和省州的大力支持下，</w:t>
      </w:r>
      <w:r>
        <w:rPr>
          <w:rFonts w:hint="eastAsia" w:ascii="仿宋" w:hAnsi="仿宋" w:eastAsia="仿宋" w:cs="仿宋"/>
          <w:sz w:val="32"/>
          <w:szCs w:val="32"/>
          <w:lang w:val="en-US" w:eastAsia="zh-CN"/>
        </w:rPr>
        <w:t>坚定实施交通先行战略，</w:t>
      </w:r>
      <w:r>
        <w:rPr>
          <w:rFonts w:hint="eastAsia" w:ascii="仿宋" w:hAnsi="仿宋" w:eastAsia="仿宋" w:cs="仿宋"/>
          <w:sz w:val="32"/>
          <w:szCs w:val="32"/>
        </w:rPr>
        <w:t>全力打响交通硬仗，打通“大动脉”，畅通“微循环”，全面推进农村公路建管护运一体化建设，并通过“交通+民生+产业+旅游”，助力脱贫攻坚、赋能乡村振兴，</w:t>
      </w:r>
      <w:r>
        <w:rPr>
          <w:rFonts w:hint="eastAsia" w:ascii="仿宋" w:hAnsi="仿宋" w:eastAsia="仿宋" w:cs="仿宋"/>
          <w:b w:val="0"/>
          <w:bCs w:val="0"/>
          <w:sz w:val="32"/>
          <w:szCs w:val="32"/>
          <w:lang w:val="en-US" w:eastAsia="zh-CN"/>
        </w:rPr>
        <w:t>农村公路日渐成为助力黑水乡村振兴的便民路、产业路、旅游路、发展路。</w:t>
      </w:r>
      <w:r>
        <w:rPr>
          <w:rFonts w:hint="eastAsia" w:ascii="仿宋" w:hAnsi="仿宋" w:eastAsia="仿宋" w:cs="仿宋"/>
          <w:sz w:val="32"/>
          <w:szCs w:val="32"/>
          <w:lang w:eastAsia="zh-CN"/>
        </w:rPr>
        <w:t>人民群众满意度达</w:t>
      </w:r>
      <w:r>
        <w:rPr>
          <w:rFonts w:hint="eastAsia" w:ascii="仿宋" w:hAnsi="仿宋" w:eastAsia="仿宋" w:cs="仿宋"/>
          <w:sz w:val="32"/>
          <w:szCs w:val="32"/>
          <w:lang w:val="en-US" w:eastAsia="zh-CN"/>
        </w:rPr>
        <w:t>100%，达到了项目预期效果。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auto"/>
          <w:kern w:val="0"/>
          <w:sz w:val="32"/>
          <w:szCs w:val="32"/>
          <w:highlight w:val="none"/>
          <w:shd w:val="clear" w:color="auto" w:fill="FFFFFF"/>
          <w:lang w:val="zh-CN" w:eastAsia="zh-CN"/>
        </w:rPr>
      </w:pPr>
      <w:r>
        <w:rPr>
          <w:rFonts w:hint="eastAsia" w:ascii="仿宋" w:hAnsi="仿宋" w:eastAsia="仿宋" w:cs="仿宋"/>
          <w:b/>
          <w:bCs/>
          <w:color w:val="auto"/>
          <w:kern w:val="0"/>
          <w:sz w:val="32"/>
          <w:szCs w:val="32"/>
          <w:highlight w:val="none"/>
          <w:shd w:val="clear" w:color="auto" w:fill="FFFFFF"/>
          <w:lang w:val="zh-CN"/>
        </w:rPr>
        <w:t>（</w:t>
      </w:r>
      <w:r>
        <w:rPr>
          <w:rFonts w:hint="eastAsia" w:ascii="仿宋" w:hAnsi="仿宋" w:eastAsia="仿宋" w:cs="仿宋"/>
          <w:b/>
          <w:bCs/>
          <w:color w:val="auto"/>
          <w:kern w:val="0"/>
          <w:sz w:val="32"/>
          <w:szCs w:val="32"/>
          <w:highlight w:val="none"/>
          <w:shd w:val="clear" w:color="auto" w:fill="FFFFFF"/>
          <w:lang w:val="en-US" w:eastAsia="zh-CN"/>
        </w:rPr>
        <w:t>二</w:t>
      </w:r>
      <w:r>
        <w:rPr>
          <w:rFonts w:hint="eastAsia" w:ascii="仿宋" w:hAnsi="仿宋" w:eastAsia="仿宋" w:cs="仿宋"/>
          <w:b/>
          <w:bCs/>
          <w:color w:val="auto"/>
          <w:kern w:val="0"/>
          <w:sz w:val="32"/>
          <w:szCs w:val="32"/>
          <w:highlight w:val="none"/>
          <w:shd w:val="clear" w:color="auto" w:fill="FFFFFF"/>
          <w:lang w:val="zh-CN"/>
        </w:rPr>
        <w:t>）</w:t>
      </w:r>
      <w:r>
        <w:rPr>
          <w:rFonts w:hint="eastAsia" w:ascii="仿宋" w:hAnsi="仿宋" w:eastAsia="仿宋" w:cs="仿宋"/>
          <w:b/>
          <w:bCs/>
          <w:color w:val="auto"/>
          <w:kern w:val="0"/>
          <w:sz w:val="32"/>
          <w:szCs w:val="32"/>
          <w:highlight w:val="none"/>
          <w:shd w:val="clear" w:color="auto" w:fill="FFFFFF"/>
          <w:lang w:val="zh-CN" w:eastAsia="zh-CN"/>
        </w:rPr>
        <w:t>重点领域</w:t>
      </w:r>
      <w:r>
        <w:rPr>
          <w:rFonts w:hint="eastAsia" w:ascii="仿宋" w:hAnsi="仿宋" w:eastAsia="仿宋" w:cs="仿宋"/>
          <w:b/>
          <w:bCs/>
          <w:color w:val="auto"/>
          <w:kern w:val="0"/>
          <w:sz w:val="32"/>
          <w:szCs w:val="32"/>
          <w:highlight w:val="none"/>
          <w:shd w:val="clear" w:color="auto" w:fill="FFFFFF"/>
          <w:lang w:val="zh-CN"/>
        </w:rPr>
        <w:t>绩效分析</w:t>
      </w:r>
      <w:r>
        <w:rPr>
          <w:rFonts w:hint="eastAsia" w:ascii="仿宋" w:hAnsi="仿宋" w:eastAsia="仿宋" w:cs="仿宋"/>
          <w:b/>
          <w:bCs/>
          <w:color w:val="auto"/>
          <w:kern w:val="0"/>
          <w:sz w:val="32"/>
          <w:szCs w:val="32"/>
          <w:highlight w:val="none"/>
          <w:shd w:val="clear" w:color="auto" w:fill="FFFFFF"/>
          <w:lang w:val="zh-CN" w:eastAsia="zh-CN"/>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bidi w:val="0"/>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年，我局在县委、县政府的坚强领导和州交通运输局的精心指导下，深入学习贯彻党的二十大精神，紧扣</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一地三县六区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战略目标，按照</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四业同优、六片共兴、四向发力、六区共建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工作思路，持续巩固拓展脱贫攻坚成果，不断优化交通基础设施布局、结构、功能和系统集成，加快构建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两横三纵</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主通道，大力建设美丽乡村路，全面推进</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四基四化</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建设，积极争创省级乡村运输</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金通工程</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样板县，更好满足人民群众高品质、多层次出行需求，让群众出行更安全、更便捷、更舒心。</w:t>
      </w:r>
    </w:p>
    <w:p>
      <w:pPr>
        <w:keepNext w:val="0"/>
        <w:keepLines w:val="0"/>
        <w:pageBreakBefore w:val="0"/>
        <w:widowControl w:val="0"/>
        <w:numPr>
          <w:ilvl w:val="0"/>
          <w:numId w:val="0"/>
        </w:numPr>
        <w:kinsoku/>
        <w:wordWrap/>
        <w:overflowPunct/>
        <w:topLinePunct w:val="0"/>
        <w:autoSpaceDE/>
        <w:autoSpaceDN/>
        <w:bidi w:val="0"/>
        <w:adjustRightInd/>
        <w:spacing w:afterAutospacing="0" w:line="560" w:lineRule="exact"/>
        <w:ind w:leftChars="200"/>
        <w:textAlignment w:val="auto"/>
        <w:outlineLvl w:val="9"/>
        <w:rPr>
          <w:rFonts w:hint="eastAsia" w:ascii="仿宋" w:hAnsi="仿宋" w:eastAsia="仿宋" w:cs="仿宋"/>
          <w:b/>
          <w:bCs/>
          <w:sz w:val="32"/>
          <w:szCs w:val="32"/>
          <w:lang w:val="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）绩效结果应用情况。</w:t>
      </w:r>
    </w:p>
    <w:p>
      <w:pPr>
        <w:keepNext w:val="0"/>
        <w:keepLines w:val="0"/>
        <w:pageBreakBefore w:val="0"/>
        <w:widowControl w:val="0"/>
        <w:numPr>
          <w:ilvl w:val="0"/>
          <w:numId w:val="0"/>
        </w:numPr>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按规定对本单位项目</w:t>
      </w:r>
      <w:r>
        <w:rPr>
          <w:rFonts w:hint="eastAsia" w:ascii="仿宋" w:hAnsi="仿宋" w:eastAsia="仿宋" w:cs="仿宋"/>
          <w:sz w:val="32"/>
          <w:szCs w:val="32"/>
          <w:lang w:val="zh-CN"/>
        </w:rPr>
        <w:t>支出</w:t>
      </w:r>
      <w:r>
        <w:rPr>
          <w:rFonts w:hint="eastAsia" w:ascii="仿宋" w:hAnsi="仿宋" w:eastAsia="仿宋" w:cs="仿宋"/>
          <w:sz w:val="32"/>
          <w:szCs w:val="32"/>
        </w:rPr>
        <w:t>及整体支出进行绩效评价；并</w:t>
      </w:r>
      <w:r>
        <w:rPr>
          <w:rFonts w:hint="eastAsia" w:ascii="仿宋" w:hAnsi="仿宋" w:eastAsia="仿宋" w:cs="仿宋"/>
          <w:sz w:val="32"/>
          <w:szCs w:val="32"/>
          <w:lang w:eastAsia="zh-CN"/>
        </w:rPr>
        <w:t>将评价结果</w:t>
      </w:r>
      <w:r>
        <w:rPr>
          <w:rFonts w:hint="eastAsia" w:ascii="仿宋" w:hAnsi="仿宋" w:eastAsia="仿宋" w:cs="仿宋"/>
          <w:sz w:val="32"/>
          <w:szCs w:val="32"/>
        </w:rPr>
        <w:t>按规定在政府</w:t>
      </w:r>
      <w:r>
        <w:rPr>
          <w:rFonts w:hint="eastAsia" w:ascii="仿宋" w:hAnsi="仿宋" w:eastAsia="仿宋" w:cs="仿宋"/>
          <w:sz w:val="32"/>
          <w:szCs w:val="32"/>
          <w:lang w:eastAsia="zh-CN"/>
        </w:rPr>
        <w:t>门户网站进行</w:t>
      </w:r>
      <w:r>
        <w:rPr>
          <w:rFonts w:hint="eastAsia" w:ascii="仿宋" w:hAnsi="仿宋" w:eastAsia="仿宋" w:cs="仿宋"/>
          <w:sz w:val="32"/>
          <w:szCs w:val="32"/>
        </w:rPr>
        <w:t>公开</w:t>
      </w:r>
      <w:r>
        <w:rPr>
          <w:rFonts w:hint="eastAsia" w:ascii="仿宋" w:hAnsi="仿宋" w:eastAsia="仿宋" w:cs="仿宋"/>
          <w:sz w:val="32"/>
          <w:szCs w:val="32"/>
          <w:lang w:eastAsia="zh-CN"/>
        </w:rPr>
        <w:t>，</w:t>
      </w:r>
      <w:r>
        <w:rPr>
          <w:rFonts w:hint="eastAsia" w:ascii="仿宋" w:hAnsi="仿宋" w:eastAsia="仿宋" w:cs="仿宋"/>
          <w:sz w:val="32"/>
          <w:szCs w:val="32"/>
        </w:rPr>
        <w:t>依法接受监督监管。</w:t>
      </w:r>
    </w:p>
    <w:p>
      <w:pPr>
        <w:keepNext w:val="0"/>
        <w:keepLines w:val="0"/>
        <w:pageBreakBefore w:val="0"/>
        <w:widowControl w:val="0"/>
        <w:shd w:val="clear" w:color="auto" w:fill="FFFFFF"/>
        <w:kinsoku/>
        <w:wordWrap/>
        <w:topLinePunct w:val="0"/>
        <w:autoSpaceDN/>
        <w:bidi w:val="0"/>
        <w:spacing w:before="0" w:beforeAutospacing="0" w:after="0" w:afterAutospacing="0" w:line="560" w:lineRule="exact"/>
        <w:ind w:left="0" w:right="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预算支出在保障本局工作运转、履行职能职责上整体情况良好。2023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项目建设所需，推动了改革和各类便民措施的实行;提高了管理工作的规范化、信息化水平;强化了机关公用经费及日常运行经费管理，对于各科室日常公用经费按照相关政策进行管理，对于办公日常运行维护费用加强审核力度，公用经费及水、电等日常运行经费均有一定下降。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color w:val="000000"/>
          <w:kern w:val="0"/>
          <w:sz w:val="32"/>
          <w:szCs w:val="32"/>
          <w:highlight w:val="none"/>
          <w:shd w:val="clear" w:color="auto" w:fill="FFFFFF"/>
          <w:lang w:eastAsia="zh-CN"/>
        </w:rPr>
        <w:t>四、</w:t>
      </w:r>
      <w:r>
        <w:rPr>
          <w:rFonts w:hint="eastAsia" w:ascii="仿宋" w:hAnsi="仿宋" w:eastAsia="仿宋" w:cs="仿宋"/>
          <w:color w:val="000000"/>
          <w:kern w:val="0"/>
          <w:sz w:val="32"/>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单位按要求对2023年部门整体支出开展绩效自评，从评价情况来看整体支出绩效目标基本完成，确保了各项资金的安全、有效性，实现了收支基本平衡，人员经费、重点项目等基本和重点支出。针对2023年下达的项目资金进行了全覆盖项目支出绩效自评，项目绩效自评平均得分为</w:t>
      </w:r>
      <w:r>
        <w:rPr>
          <w:rFonts w:hint="eastAsia" w:ascii="仿宋" w:hAnsi="仿宋" w:eastAsia="仿宋" w:cs="仿宋"/>
          <w:b w:val="0"/>
          <w:bCs w:val="0"/>
          <w:i w:val="0"/>
          <w:iCs w:val="0"/>
          <w:caps w:val="0"/>
          <w:color w:val="auto"/>
          <w:spacing w:val="0"/>
          <w:sz w:val="32"/>
          <w:szCs w:val="32"/>
          <w:shd w:val="clear" w:fill="FFFFFF"/>
          <w:lang w:val="en-US" w:eastAsia="zh-CN"/>
        </w:rPr>
        <w:t>93.2</w:t>
      </w:r>
      <w:r>
        <w:rPr>
          <w:rFonts w:hint="eastAsia" w:ascii="仿宋" w:hAnsi="仿宋" w:eastAsia="仿宋" w:cs="仿宋"/>
          <w:i w:val="0"/>
          <w:iCs w:val="0"/>
          <w:caps w:val="0"/>
          <w:color w:val="333333"/>
          <w:spacing w:val="0"/>
          <w:sz w:val="32"/>
          <w:szCs w:val="32"/>
          <w:shd w:val="clear" w:fill="FFFFFF"/>
        </w:rPr>
        <w:t>分，自评结果为优秀。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    2023年我单位部门整体支出绩效评价自评得分为</w:t>
      </w:r>
      <w:r>
        <w:rPr>
          <w:rFonts w:hint="eastAsia" w:ascii="仿宋" w:hAnsi="仿宋" w:eastAsia="仿宋" w:cs="仿宋"/>
          <w:i w:val="0"/>
          <w:iCs w:val="0"/>
          <w:caps w:val="0"/>
          <w:color w:val="auto"/>
          <w:spacing w:val="0"/>
          <w:kern w:val="2"/>
          <w:sz w:val="32"/>
          <w:szCs w:val="32"/>
          <w:shd w:val="clear" w:fill="FFFFFF"/>
          <w:lang w:val="en-US" w:eastAsia="zh-CN" w:bidi="ar-SA"/>
        </w:rPr>
        <w:t>90.83</w:t>
      </w:r>
      <w:r>
        <w:rPr>
          <w:rFonts w:hint="eastAsia" w:ascii="仿宋" w:hAnsi="仿宋" w:eastAsia="仿宋" w:cs="仿宋"/>
          <w:i w:val="0"/>
          <w:iCs w:val="0"/>
          <w:caps w:val="0"/>
          <w:color w:val="333333"/>
          <w:spacing w:val="0"/>
          <w:kern w:val="2"/>
          <w:sz w:val="32"/>
          <w:szCs w:val="32"/>
          <w:shd w:val="clear" w:fill="FFFFFF"/>
          <w:lang w:val="en-US" w:eastAsia="zh-CN" w:bidi="ar-SA"/>
        </w:rPr>
        <w:t>分，属于“合格”级别,全年基本支出保证了部门的正常运行和日常工作正常开展,项目支出保障了重点工作开展,达到预期绩效目标。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zh-CN"/>
        </w:rPr>
        <w:t>（二）存在问题。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 </w:t>
      </w:r>
      <w:r>
        <w:rPr>
          <w:rFonts w:hint="eastAsia" w:ascii="仿宋" w:hAnsi="仿宋" w:eastAsia="仿宋" w:cs="仿宋"/>
          <w:b/>
          <w:bCs/>
          <w:i w:val="0"/>
          <w:iCs w:val="0"/>
          <w:caps w:val="0"/>
          <w:color w:val="333333"/>
          <w:spacing w:val="0"/>
          <w:kern w:val="2"/>
          <w:sz w:val="32"/>
          <w:szCs w:val="32"/>
          <w:shd w:val="clear" w:fill="FFFFFF"/>
          <w:lang w:val="en-US" w:eastAsia="zh-CN" w:bidi="ar-SA"/>
        </w:rPr>
        <w:t xml:space="preserve"> 1.绩效目标设置有待继续优化。</w:t>
      </w:r>
      <w:r>
        <w:rPr>
          <w:rFonts w:hint="eastAsia" w:ascii="仿宋" w:hAnsi="仿宋" w:eastAsia="仿宋" w:cs="仿宋"/>
          <w:i w:val="0"/>
          <w:iCs w:val="0"/>
          <w:caps w:val="0"/>
          <w:color w:val="333333"/>
          <w:spacing w:val="0"/>
          <w:kern w:val="2"/>
          <w:sz w:val="32"/>
          <w:szCs w:val="32"/>
          <w:shd w:val="clear" w:fill="FFFFFF"/>
          <w:lang w:val="en-US" w:eastAsia="zh-CN" w:bidi="ar-SA"/>
        </w:rPr>
        <w:t>主要是部分业务股室在理解和设定预算绩效目标方面存在一定的不足，特别是在一级指标的框架下，难以制定出切实可行的二级和三级指标，这直接影响了项目绩效执行结果的准确衡量。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2.绩效评价的应用效果有待进一步提升。</w:t>
      </w:r>
      <w:r>
        <w:rPr>
          <w:rFonts w:hint="eastAsia" w:ascii="仿宋" w:hAnsi="仿宋" w:eastAsia="仿宋" w:cs="仿宋"/>
          <w:i w:val="0"/>
          <w:iCs w:val="0"/>
          <w:caps w:val="0"/>
          <w:color w:val="333333"/>
          <w:spacing w:val="0"/>
          <w:kern w:val="2"/>
          <w:sz w:val="32"/>
          <w:szCs w:val="32"/>
          <w:shd w:val="clear" w:fill="FFFFFF"/>
          <w:lang w:val="en-US" w:eastAsia="zh-CN" w:bidi="ar-SA"/>
        </w:rPr>
        <w:t>当前的绩效评价往往在项目完结后才进行，这导致评价结果难以对预算的实际使用产生实质性影响。</w:t>
      </w:r>
    </w:p>
    <w:p>
      <w:pPr>
        <w:keepNext w:val="0"/>
        <w:keepLines w:val="0"/>
        <w:pageBreakBefore w:val="0"/>
        <w:widowControl w:val="0"/>
        <w:numPr>
          <w:ilvl w:val="0"/>
          <w:numId w:val="0"/>
        </w:numPr>
        <w:tabs>
          <w:tab w:val="left" w:pos="2160"/>
        </w:tabs>
        <w:kinsoku/>
        <w:wordWrap/>
        <w:overflowPunct/>
        <w:topLinePunct w:val="0"/>
        <w:autoSpaceDE/>
        <w:autoSpaceDN/>
        <w:bidi w:val="0"/>
        <w:adjustRightInd/>
        <w:spacing w:after="120" w:line="560" w:lineRule="exact"/>
        <w:ind w:firstLine="642" w:firstLineChars="200"/>
        <w:jc w:val="both"/>
        <w:textAlignment w:val="auto"/>
        <w:rPr>
          <w:rFonts w:hint="eastAsia" w:ascii="仿宋" w:hAnsi="仿宋" w:eastAsia="仿宋" w:cs="仿宋"/>
          <w:b w:val="0"/>
          <w:bCs w:val="0"/>
          <w:color w:val="000000"/>
          <w:kern w:val="0"/>
          <w:position w:val="0"/>
          <w:sz w:val="32"/>
          <w:szCs w:val="32"/>
          <w:highlight w:val="none"/>
          <w:lang w:val="en-US" w:eastAsia="zh-CN" w:bidi="ar-SA"/>
        </w:rPr>
      </w:pPr>
      <w:r>
        <w:rPr>
          <w:rFonts w:hint="eastAsia" w:ascii="仿宋" w:hAnsi="仿宋" w:eastAsia="仿宋" w:cs="仿宋"/>
          <w:b/>
          <w:bCs/>
          <w:i w:val="0"/>
          <w:iCs w:val="0"/>
          <w:caps w:val="0"/>
          <w:color w:val="333333"/>
          <w:spacing w:val="0"/>
          <w:kern w:val="2"/>
          <w:sz w:val="32"/>
          <w:szCs w:val="32"/>
          <w:shd w:val="clear" w:fill="FFFFFF"/>
          <w:lang w:val="en-US" w:eastAsia="zh-CN" w:bidi="ar-SA"/>
        </w:rPr>
        <w:t>3.项目推进滞后,项目完成时间超过计划完成时间。</w:t>
      </w:r>
      <w:r>
        <w:rPr>
          <w:rFonts w:hint="eastAsia" w:ascii="仿宋" w:hAnsi="仿宋" w:eastAsia="仿宋" w:cs="仿宋"/>
          <w:b w:val="0"/>
          <w:bCs w:val="0"/>
          <w:i w:val="0"/>
          <w:iCs w:val="0"/>
          <w:caps w:val="0"/>
          <w:color w:val="333333"/>
          <w:spacing w:val="0"/>
          <w:kern w:val="2"/>
          <w:sz w:val="32"/>
          <w:szCs w:val="32"/>
          <w:shd w:val="clear" w:fill="FFFFFF"/>
          <w:lang w:val="en-US" w:eastAsia="zh-CN" w:bidi="ar-SA"/>
        </w:rPr>
        <w:t>黑水县奶子沟彩林风景区道路(马河 坝、银针)建设项目</w:t>
      </w:r>
      <w:r>
        <w:rPr>
          <w:rFonts w:hint="eastAsia" w:ascii="仿宋" w:hAnsi="仿宋" w:eastAsia="仿宋" w:cs="仿宋"/>
          <w:b w:val="0"/>
          <w:bCs w:val="0"/>
          <w:color w:val="000000"/>
          <w:kern w:val="0"/>
          <w:position w:val="0"/>
          <w:sz w:val="32"/>
          <w:szCs w:val="32"/>
          <w:highlight w:val="none"/>
          <w:lang w:val="en-US" w:eastAsia="zh-CN" w:bidi="ar-SA"/>
        </w:rPr>
        <w:t>在2021年7月29日正式开工，立项批复及合同建设工期为240日，截止2023年10月20日施工单位申请交工，合计施工工期为473日，</w:t>
      </w:r>
      <w:bookmarkStart w:id="4" w:name="_GoBack"/>
      <w:bookmarkEnd w:id="4"/>
      <w:r>
        <w:rPr>
          <w:rFonts w:hint="eastAsia" w:ascii="仿宋" w:hAnsi="仿宋" w:eastAsia="仿宋" w:cs="仿宋"/>
          <w:b w:val="0"/>
          <w:bCs w:val="0"/>
          <w:color w:val="000000"/>
          <w:kern w:val="0"/>
          <w:position w:val="0"/>
          <w:sz w:val="32"/>
          <w:szCs w:val="32"/>
          <w:highlight w:val="none"/>
          <w:lang w:val="en-US" w:eastAsia="zh-CN" w:bidi="ar-SA"/>
        </w:rPr>
        <w:t>实际完成时间超过计划完成时间。</w:t>
      </w:r>
    </w:p>
    <w:p>
      <w:pPr>
        <w:keepNext w:val="0"/>
        <w:keepLines w:val="0"/>
        <w:pageBreakBefore w:val="0"/>
        <w:numPr>
          <w:ilvl w:val="0"/>
          <w:numId w:val="0"/>
        </w:numPr>
        <w:kinsoku/>
        <w:wordWrap/>
        <w:overflowPunct/>
        <w:topLinePunct w:val="0"/>
        <w:autoSpaceDE/>
        <w:autoSpaceDN/>
        <w:bidi w:val="0"/>
        <w:spacing w:line="560" w:lineRule="exact"/>
        <w:ind w:firstLine="642" w:firstLineChars="200"/>
        <w:contextualSpacing/>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b/>
          <w:bCs/>
          <w:color w:val="000000"/>
          <w:kern w:val="0"/>
          <w:sz w:val="32"/>
          <w:szCs w:val="32"/>
          <w:highlight w:val="none"/>
          <w:shd w:val="clear" w:color="auto" w:fill="FFFFFF"/>
          <w:lang w:val="zh-CN" w:eastAsia="zh-CN"/>
        </w:rPr>
        <w:t>（三）改进建议。</w:t>
      </w:r>
    </w:p>
    <w:p>
      <w:pPr>
        <w:keepNext w:val="0"/>
        <w:keepLines w:val="0"/>
        <w:pageBreakBefore w:val="0"/>
        <w:numPr>
          <w:ilvl w:val="0"/>
          <w:numId w:val="0"/>
        </w:numPr>
        <w:kinsoku/>
        <w:wordWrap/>
        <w:overflowPunct/>
        <w:topLinePunct w:val="0"/>
        <w:autoSpaceDE/>
        <w:autoSpaceDN/>
        <w:bidi w:val="0"/>
        <w:spacing w:line="560" w:lineRule="exact"/>
        <w:ind w:firstLine="642" w:firstLineChars="200"/>
        <w:contextualSpacing/>
        <w:textAlignment w:val="auto"/>
        <w:outlineLvl w:val="9"/>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kern w:val="0"/>
          <w:position w:val="0"/>
          <w:sz w:val="32"/>
          <w:szCs w:val="32"/>
          <w:highlight w:val="none"/>
          <w:lang w:val="en-US" w:eastAsia="zh-CN" w:bidi="ar-SA"/>
        </w:rPr>
        <w:t>细化预算编制，优化预算项目设置。</w:t>
      </w:r>
      <w:r>
        <w:rPr>
          <w:rFonts w:hint="eastAsia" w:ascii="仿宋" w:hAnsi="仿宋" w:eastAsia="仿宋" w:cs="仿宋"/>
          <w:b w:val="0"/>
          <w:bCs w:val="0"/>
          <w:kern w:val="0"/>
          <w:position w:val="0"/>
          <w:sz w:val="32"/>
          <w:szCs w:val="32"/>
          <w:highlight w:val="none"/>
          <w:lang w:val="en-US" w:eastAsia="zh-CN" w:bidi="ar-SA"/>
        </w:rPr>
        <w:t>不断完善部门预算编制管理，抓住预算一体化系统平台整合的契机，充分利用云平台数据，加强项目资金执行情况分析，并作为下年预算安排的依据，进一步提高预算编制的精准度和预算标准化水平。</w:t>
      </w:r>
    </w:p>
    <w:p>
      <w:pPr>
        <w:keepNext w:val="0"/>
        <w:keepLines w:val="0"/>
        <w:pageBreakBefore w:val="0"/>
        <w:kinsoku/>
        <w:wordWrap/>
        <w:overflowPunct/>
        <w:topLinePunct w:val="0"/>
        <w:autoSpaceDE/>
        <w:autoSpaceDN/>
        <w:bidi w:val="0"/>
        <w:spacing w:line="560" w:lineRule="exact"/>
        <w:ind w:firstLine="642" w:firstLineChars="200"/>
        <w:contextualSpacing/>
        <w:textAlignment w:val="auto"/>
        <w:outlineLvl w:val="9"/>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bCs/>
          <w:kern w:val="0"/>
          <w:position w:val="0"/>
          <w:sz w:val="32"/>
          <w:szCs w:val="32"/>
          <w:highlight w:val="none"/>
          <w:lang w:val="en-US" w:eastAsia="zh-CN" w:bidi="ar-SA"/>
        </w:rPr>
        <w:t>2.强化预算约束，实行项目进度动态管理。</w:t>
      </w:r>
      <w:r>
        <w:rPr>
          <w:rFonts w:hint="eastAsia" w:ascii="仿宋" w:hAnsi="仿宋" w:eastAsia="仿宋" w:cs="仿宋"/>
          <w:b w:val="0"/>
          <w:bCs w:val="0"/>
          <w:kern w:val="0"/>
          <w:position w:val="0"/>
          <w:sz w:val="32"/>
          <w:szCs w:val="32"/>
          <w:highlight w:val="none"/>
          <w:lang w:val="en-US" w:eastAsia="zh-CN" w:bidi="ar-SA"/>
        </w:rPr>
        <w:t>通过定期对项目实施和预算执行情况进行梳理，及时掌握项目进度，督促项目实施单位早启动、早实施、早验收，对符合条件的项目按照项目进度支付相关款项，将预算资金管理贯穿于项目实施全过程中。</w:t>
      </w:r>
    </w:p>
    <w:p>
      <w:pPr>
        <w:keepNext w:val="0"/>
        <w:keepLines w:val="0"/>
        <w:pageBreakBefore w:val="0"/>
        <w:kinsoku/>
        <w:wordWrap/>
        <w:overflowPunct/>
        <w:topLinePunct w:val="0"/>
        <w:autoSpaceDE/>
        <w:autoSpaceDN/>
        <w:bidi w:val="0"/>
        <w:spacing w:line="560" w:lineRule="exact"/>
        <w:ind w:firstLine="642" w:firstLineChars="200"/>
        <w:contextualSpacing/>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b/>
          <w:bCs/>
          <w:kern w:val="0"/>
          <w:position w:val="0"/>
          <w:sz w:val="32"/>
          <w:szCs w:val="32"/>
          <w:highlight w:val="none"/>
          <w:lang w:val="en-US" w:eastAsia="zh-CN" w:bidi="ar-SA"/>
        </w:rPr>
        <w:t>3.加快项目推进</w:t>
      </w:r>
      <w:r>
        <w:rPr>
          <w:rFonts w:hint="eastAsia" w:ascii="仿宋" w:hAnsi="仿宋" w:eastAsia="仿宋" w:cs="仿宋"/>
          <w:b w:val="0"/>
          <w:bCs w:val="0"/>
          <w:kern w:val="0"/>
          <w:position w:val="0"/>
          <w:sz w:val="32"/>
          <w:szCs w:val="32"/>
          <w:highlight w:val="none"/>
          <w:lang w:val="en-US" w:eastAsia="zh-CN" w:bidi="ar-SA"/>
        </w:rPr>
        <w:t>。加强工程项目管理和资金管理，专项资金要专款专用。</w:t>
      </w:r>
      <w:r>
        <w:rPr>
          <w:rFonts w:hint="eastAsia" w:ascii="仿宋" w:hAnsi="仿宋" w:eastAsia="仿宋" w:cs="仿宋"/>
          <w:color w:val="000000"/>
          <w:kern w:val="2"/>
          <w:sz w:val="32"/>
          <w:szCs w:val="32"/>
          <w:lang w:val="en-US" w:eastAsia="zh-CN" w:bidi="ar-SA"/>
        </w:rPr>
        <w:t>提高财政资金使用效率，尽量减少预算执行调整、结转和结余注销的情形。 </w:t>
      </w:r>
    </w:p>
    <w:p>
      <w:pPr>
        <w:keepNext w:val="0"/>
        <w:keepLines w:val="0"/>
        <w:pageBreakBefore w:val="0"/>
        <w:kinsoku/>
        <w:wordWrap/>
        <w:overflowPunct/>
        <w:topLinePunct w:val="0"/>
        <w:autoSpaceDE/>
        <w:autoSpaceDN/>
        <w:bidi w:val="0"/>
        <w:spacing w:line="560" w:lineRule="exact"/>
        <w:ind w:firstLine="4160" w:firstLineChars="1300"/>
        <w:textAlignment w:val="auto"/>
        <w:rPr>
          <w:rFonts w:hint="eastAsia" w:ascii="仿宋" w:hAnsi="仿宋" w:eastAsia="仿宋" w:cs="仿宋"/>
          <w:color w:val="000000"/>
          <w:kern w:val="0"/>
          <w:sz w:val="32"/>
          <w:szCs w:val="32"/>
          <w:highlight w:val="none"/>
          <w:shd w:val="clear" w:color="auto" w:fill="FFFFFF"/>
          <w:lang w:val="en-US" w:eastAsia="zh-CN"/>
        </w:rPr>
      </w:pPr>
    </w:p>
    <w:p>
      <w:pPr>
        <w:keepNext w:val="0"/>
        <w:keepLines w:val="0"/>
        <w:pageBreakBefore w:val="0"/>
        <w:widowControl w:val="0"/>
        <w:tabs>
          <w:tab w:val="center" w:pos="4153"/>
          <w:tab w:val="right" w:pos="8306"/>
        </w:tabs>
        <w:kinsoku/>
        <w:wordWrap/>
        <w:topLinePunct w:val="0"/>
        <w:autoSpaceDN/>
        <w:bidi w:val="0"/>
        <w:snapToGrid w:val="0"/>
        <w:spacing w:line="560" w:lineRule="exact"/>
        <w:jc w:val="left"/>
        <w:textAlignment w:val="auto"/>
        <w:rPr>
          <w:rFonts w:hint="eastAsia" w:ascii="仿宋" w:hAnsi="仿宋" w:eastAsia="仿宋" w:cs="仿宋"/>
          <w:color w:val="000000"/>
          <w:kern w:val="0"/>
          <w:sz w:val="32"/>
          <w:szCs w:val="32"/>
          <w:highlight w:val="none"/>
          <w:shd w:val="clear" w:color="auto" w:fill="FFFFFF"/>
          <w:lang w:val="en-US" w:eastAsia="zh-CN" w:bidi="ar-SA"/>
        </w:rPr>
      </w:pPr>
    </w:p>
    <w:p>
      <w:pPr>
        <w:keepNext w:val="0"/>
        <w:keepLines w:val="0"/>
        <w:pageBreakBefore w:val="0"/>
        <w:widowControl w:val="0"/>
        <w:tabs>
          <w:tab w:val="center" w:pos="4153"/>
          <w:tab w:val="right" w:pos="8306"/>
        </w:tabs>
        <w:kinsoku/>
        <w:wordWrap/>
        <w:topLinePunct w:val="0"/>
        <w:autoSpaceDN/>
        <w:bidi w:val="0"/>
        <w:snapToGrid w:val="0"/>
        <w:spacing w:line="560" w:lineRule="exact"/>
        <w:jc w:val="left"/>
        <w:textAlignment w:val="auto"/>
        <w:rPr>
          <w:rFonts w:hint="eastAsia" w:ascii="仿宋" w:hAnsi="仿宋" w:eastAsia="仿宋" w:cs="仿宋"/>
          <w:color w:val="000000"/>
          <w:kern w:val="0"/>
          <w:sz w:val="32"/>
          <w:szCs w:val="32"/>
          <w:highlight w:val="none"/>
          <w:shd w:val="clear" w:color="auto" w:fill="FFFFFF"/>
          <w:lang w:val="en-US" w:eastAsia="zh-CN" w:bidi="ar-SA"/>
        </w:rPr>
      </w:pPr>
    </w:p>
    <w:p>
      <w:pPr>
        <w:pStyle w:val="6"/>
        <w:keepNext w:val="0"/>
        <w:keepLines w:val="0"/>
        <w:pageBreakBefore w:val="0"/>
        <w:kinsoku/>
        <w:wordWrap/>
        <w:topLinePunct w:val="0"/>
        <w:autoSpaceDN/>
        <w:bidi w:val="0"/>
        <w:spacing w:line="560" w:lineRule="exact"/>
        <w:ind w:left="840" w:hanging="42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9B59"/>
    <w:multiLevelType w:val="singleLevel"/>
    <w:tmpl w:val="0A2A9B59"/>
    <w:lvl w:ilvl="0" w:tentative="0">
      <w:start w:val="3"/>
      <w:numFmt w:val="chineseCounting"/>
      <w:suff w:val="nothing"/>
      <w:lvlText w:val="（%1）"/>
      <w:lvlJc w:val="left"/>
      <w:rPr>
        <w:rFonts w:hint="eastAsia"/>
      </w:rPr>
    </w:lvl>
  </w:abstractNum>
  <w:abstractNum w:abstractNumId="1">
    <w:nsid w:val="42CD731F"/>
    <w:multiLevelType w:val="singleLevel"/>
    <w:tmpl w:val="42CD731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QyMjgyNTkwZWY0MGY3NTIzZTM1MGNmMjQ1MWIifQ=="/>
  </w:docVars>
  <w:rsids>
    <w:rsidRoot w:val="00152FA2"/>
    <w:rsid w:val="00053F7E"/>
    <w:rsid w:val="00152FA2"/>
    <w:rsid w:val="002E61F0"/>
    <w:rsid w:val="004C3CB2"/>
    <w:rsid w:val="00801CDB"/>
    <w:rsid w:val="009A47BF"/>
    <w:rsid w:val="00B955C8"/>
    <w:rsid w:val="00CD5153"/>
    <w:rsid w:val="18D40FBB"/>
    <w:rsid w:val="2CDB4BBF"/>
    <w:rsid w:val="2D8D05C4"/>
    <w:rsid w:val="35563B17"/>
    <w:rsid w:val="35DF503A"/>
    <w:rsid w:val="3FF25A4D"/>
    <w:rsid w:val="4BFD73D6"/>
    <w:rsid w:val="57CF6110"/>
    <w:rsid w:val="59A154F3"/>
    <w:rsid w:val="6FD86EA5"/>
    <w:rsid w:val="73EE66C6"/>
    <w:rsid w:val="74CBC841"/>
    <w:rsid w:val="7BDFEA4E"/>
    <w:rsid w:val="7BED2780"/>
    <w:rsid w:val="7D73F515"/>
    <w:rsid w:val="7FCFFAF4"/>
    <w:rsid w:val="A57F4C04"/>
    <w:rsid w:val="FF7E4BE5"/>
    <w:rsid w:val="FFCF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after="120"/>
      <w:ind w:left="420"/>
    </w:pPr>
  </w:style>
  <w:style w:type="paragraph" w:styleId="5">
    <w:name w:val="Body Text First Indent 2"/>
    <w:basedOn w:val="4"/>
    <w:next w:val="1"/>
    <w:qFormat/>
    <w:uiPriority w:val="0"/>
    <w:pPr>
      <w:ind w:left="0" w:firstLine="40"/>
    </w:pPr>
    <w:rPr>
      <w:rFonts w:ascii="仿宋_GB2312" w:hAnsi="仿宋_GB2312" w:eastAsia="仿宋" w:cs="仿宋_GB2312"/>
      <w:sz w:val="32"/>
      <w:szCs w:val="32"/>
    </w:rPr>
  </w:style>
  <w:style w:type="paragraph" w:styleId="6">
    <w:name w:val="table of figures"/>
    <w:basedOn w:val="1"/>
    <w:next w:val="1"/>
    <w:qFormat/>
    <w:uiPriority w:val="0"/>
    <w:pPr>
      <w:ind w:left="400" w:leftChars="200" w:hanging="200" w:hangingChars="200"/>
    </w:pPr>
  </w:style>
  <w:style w:type="paragraph" w:styleId="7">
    <w:name w:val="HTML Preformatted"/>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664"/>
    </w:pPr>
    <w:rPr>
      <w:rFonts w:ascii="Calibri" w:hAnsi="Calibri" w:eastAsia="宋体" w:cs="Times New Roman"/>
    </w:rPr>
  </w:style>
  <w:style w:type="paragraph" w:customStyle="1" w:styleId="12">
    <w:name w:val="正文 A"/>
    <w:basedOn w:val="1"/>
    <w:next w:val="6"/>
    <w:qFormat/>
    <w:uiPriority w:val="0"/>
    <w:pPr>
      <w:keepNext w:val="0"/>
      <w:keepLines w:val="0"/>
      <w:widowControl w:val="0"/>
      <w:suppressLineNumbers w:val="0"/>
      <w:spacing w:before="0" w:beforeAutospacing="0" w:after="0" w:afterAutospacing="0"/>
      <w:ind w:left="0" w:right="0"/>
      <w:jc w:val="both"/>
    </w:pPr>
    <w:rPr>
      <w:rFonts w:hint="default" w:ascii="Calibri" w:hAnsi="Calibri" w:eastAsia="Calibri" w:cs="Times New Roman"/>
      <w:color w:val="000000"/>
      <w:kern w:val="2"/>
      <w:sz w:val="21"/>
      <w:szCs w:val="21"/>
      <w:u w:color="00000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2365</Words>
  <Characters>2556</Characters>
  <Lines>18</Lines>
  <Paragraphs>5</Paragraphs>
  <TotalTime>29</TotalTime>
  <ScaleCrop>false</ScaleCrop>
  <LinksUpToDate>false</LinksUpToDate>
  <CharactersWithSpaces>2576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2023-08-31T15:38:00Z</dcterms:created>
  <dc:creator>xb21cn</dc:creator>
  <cp:lastModifiedBy>user</cp:lastModifiedBy>
  <dcterms:modified xsi:type="dcterms:W3CDTF">2024-10-25T15:57:08Z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CD7B9CF6C4C9474BB6801B4506785EE7_12</vt:lpwstr>
  </property>
</Properties>
</file>