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jc w:val="left"/>
        <w:rPr>
          <w:rFonts w:hint="eastAsia" w:ascii="方正小标宋_GBK" w:hAnsi="方正小标宋_GBK" w:eastAsia="方正小标宋_GBK" w:cs="方正小标宋_GBK"/>
          <w:sz w:val="28"/>
          <w:szCs w:val="28"/>
          <w:lang w:val="en-US" w:eastAsia="zh-CN"/>
        </w:rPr>
      </w:pPr>
      <w:bookmarkStart w:id="0" w:name="_Toc15396616"/>
      <w:r>
        <w:rPr>
          <w:rFonts w:hint="eastAsia" w:ascii="方正小标宋_GBK" w:hAnsi="方正小标宋_GBK" w:eastAsia="方正小标宋_GBK" w:cs="方正小标宋_GBK"/>
          <w:sz w:val="28"/>
          <w:szCs w:val="28"/>
          <w:lang w:val="en-US" w:eastAsia="zh-CN"/>
        </w:rPr>
        <w:t>附件：1-2</w:t>
      </w:r>
    </w:p>
    <w:p>
      <w:pPr>
        <w:spacing w:line="600" w:lineRule="exact"/>
        <w:jc w:val="center"/>
        <w:outlineLvl w:val="0"/>
        <w:rPr>
          <w:rFonts w:hint="eastAsia" w:ascii="仿宋_GB2312" w:hAnsi="黑体" w:eastAsia="仿宋_GB2312" w:cs="方正小标宋简体"/>
          <w:b/>
          <w:sz w:val="32"/>
          <w:szCs w:val="32"/>
          <w:lang w:eastAsia="zh-CN"/>
        </w:rPr>
      </w:pPr>
    </w:p>
    <w:p>
      <w:pPr>
        <w:spacing w:line="600" w:lineRule="exact"/>
        <w:jc w:val="center"/>
        <w:outlineLvl w:val="0"/>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黑水县交通</w:t>
      </w:r>
      <w:r>
        <w:rPr>
          <w:rFonts w:hint="default" w:ascii="Times New Roman" w:hAnsi="Times New Roman" w:eastAsia="仿宋_GB2312" w:cs="Times New Roman"/>
          <w:b/>
          <w:sz w:val="32"/>
          <w:szCs w:val="32"/>
          <w:lang w:val="en-US" w:eastAsia="zh-CN"/>
        </w:rPr>
        <w:t>运输</w:t>
      </w:r>
      <w:r>
        <w:rPr>
          <w:rFonts w:hint="default" w:ascii="Times New Roman" w:hAnsi="Times New Roman" w:eastAsia="仿宋_GB2312" w:cs="Times New Roman"/>
          <w:b/>
          <w:sz w:val="32"/>
          <w:szCs w:val="32"/>
        </w:rPr>
        <w:t>局（</w:t>
      </w:r>
      <w:r>
        <w:rPr>
          <w:rFonts w:hint="default" w:ascii="Times New Roman" w:hAnsi="Times New Roman" w:eastAsia="仿宋_GB2312" w:cs="Times New Roman"/>
          <w:b/>
          <w:sz w:val="32"/>
          <w:szCs w:val="32"/>
          <w:lang w:eastAsia="zh-CN"/>
        </w:rPr>
        <w:t>汇总</w:t>
      </w:r>
      <w:r>
        <w:rPr>
          <w:rFonts w:hint="default" w:ascii="Times New Roman" w:hAnsi="Times New Roman" w:eastAsia="仿宋_GB2312" w:cs="Times New Roman"/>
          <w:b/>
          <w:sz w:val="32"/>
          <w:szCs w:val="32"/>
        </w:rPr>
        <w:t>）20</w:t>
      </w:r>
      <w:r>
        <w:rPr>
          <w:rFonts w:hint="default" w:ascii="Times New Roman" w:hAnsi="Times New Roman" w:eastAsia="仿宋_GB2312" w:cs="Times New Roman"/>
          <w:b/>
          <w:sz w:val="32"/>
          <w:szCs w:val="32"/>
          <w:lang w:val="en-US" w:eastAsia="zh-CN"/>
        </w:rPr>
        <w:t>24</w:t>
      </w:r>
      <w:r>
        <w:rPr>
          <w:rFonts w:hint="default" w:ascii="Times New Roman" w:hAnsi="Times New Roman" w:eastAsia="仿宋_GB2312" w:cs="Times New Roman"/>
          <w:b/>
          <w:sz w:val="32"/>
          <w:szCs w:val="32"/>
        </w:rPr>
        <w:t>年部门</w:t>
      </w:r>
    </w:p>
    <w:p>
      <w:pPr>
        <w:spacing w:line="600" w:lineRule="exact"/>
        <w:jc w:val="center"/>
        <w:outlineLvl w:val="0"/>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整体支出绩效评价报告</w:t>
      </w:r>
      <w:bookmarkEnd w:id="0"/>
    </w:p>
    <w:p>
      <w:pPr>
        <w:spacing w:line="580" w:lineRule="exact"/>
        <w:ind w:firstLine="642" w:firstLineChars="200"/>
        <w:rPr>
          <w:rFonts w:hint="default" w:ascii="Times New Roman" w:hAnsi="Times New Roman" w:eastAsia="仿宋_GB2312" w:cs="Times New Roman"/>
          <w:b/>
          <w:sz w:val="32"/>
          <w:szCs w:val="32"/>
        </w:rPr>
      </w:pP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一、部门（单位）概况</w:t>
      </w:r>
    </w:p>
    <w:p>
      <w:pPr>
        <w:spacing w:line="580" w:lineRule="exact"/>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（一）机构组成</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本部门独立编制机构1个，内设办公室、</w:t>
      </w:r>
      <w:r>
        <w:rPr>
          <w:rFonts w:hint="default" w:ascii="Times New Roman" w:hAnsi="Times New Roman" w:eastAsia="仿宋" w:cs="Times New Roman"/>
          <w:sz w:val="32"/>
          <w:szCs w:val="32"/>
          <w:lang w:val="en-US" w:eastAsia="zh-CN"/>
        </w:rPr>
        <w:t>交通规划建设股（行政审批股）</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val="en-US" w:eastAsia="zh-CN"/>
        </w:rPr>
        <w:t>安全运输管理股</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val="en-US" w:eastAsia="zh-CN"/>
        </w:rPr>
        <w:t>农村公路服务中心</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val="en-US" w:eastAsia="zh-CN"/>
        </w:rPr>
        <w:t>公路工程质量监督管理站</w:t>
      </w:r>
      <w:r>
        <w:rPr>
          <w:rFonts w:hint="default" w:ascii="Times New Roman" w:hAnsi="Times New Roman" w:eastAsia="仿宋" w:cs="Times New Roman"/>
          <w:sz w:val="32"/>
          <w:szCs w:val="32"/>
        </w:rPr>
        <w:t>、</w:t>
      </w:r>
      <w:r>
        <w:rPr>
          <w:rFonts w:hint="eastAsia" w:eastAsia="仿宋" w:cs="Times New Roman"/>
          <w:sz w:val="32"/>
          <w:szCs w:val="32"/>
          <w:lang w:val="en-US" w:eastAsia="zh-CN"/>
        </w:rPr>
        <w:t>交通</w:t>
      </w:r>
      <w:bookmarkStart w:id="1" w:name="_GoBack"/>
      <w:bookmarkEnd w:id="1"/>
      <w:r>
        <w:rPr>
          <w:rFonts w:hint="eastAsia" w:eastAsia="仿宋" w:cs="Times New Roman"/>
          <w:sz w:val="32"/>
          <w:szCs w:val="32"/>
          <w:lang w:val="en-US" w:eastAsia="zh-CN"/>
        </w:rPr>
        <w:t>运输执法中队</w:t>
      </w:r>
      <w:r>
        <w:rPr>
          <w:rFonts w:hint="default" w:ascii="Times New Roman" w:hAnsi="Times New Roman" w:eastAsia="仿宋" w:cs="Times New Roman"/>
          <w:sz w:val="32"/>
          <w:szCs w:val="32"/>
          <w:lang w:val="en-US" w:eastAsia="zh-CN"/>
        </w:rPr>
        <w:t>6</w:t>
      </w:r>
      <w:r>
        <w:rPr>
          <w:rFonts w:hint="default" w:ascii="Times New Roman" w:hAnsi="Times New Roman" w:eastAsia="仿宋" w:cs="Times New Roman"/>
          <w:sz w:val="32"/>
          <w:szCs w:val="32"/>
        </w:rPr>
        <w:t>个股室。</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本单位下属二级预算单位</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个，其中行政单位0个，参照公务员管理事业单位0个，其他事业单位0个。</w:t>
      </w:r>
    </w:p>
    <w:p>
      <w:pPr>
        <w:numPr>
          <w:ilvl w:val="0"/>
          <w:numId w:val="1"/>
        </w:num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机构职能</w:t>
      </w:r>
    </w:p>
    <w:p>
      <w:pPr>
        <w:pageBreakBefore w:val="0"/>
        <w:widowControl/>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仿宋" w:cs="Times New Roman"/>
          <w:sz w:val="32"/>
          <w:szCs w:val="32"/>
        </w:rPr>
        <w:t>贯彻落实党中央关于交通运输工作的方针政策和省委、州委、县委决策部署，在履行职责过程中坚持和加强党对交通运输工作的集中统一领导。主要职责是：贯彻执行国家、省、州有关交通运输行业的方针、政策和</w:t>
      </w:r>
      <w:r>
        <w:rPr>
          <w:rFonts w:hint="default" w:ascii="Times New Roman" w:hAnsi="Times New Roman" w:eastAsia="仿宋" w:cs="Times New Roman"/>
          <w:sz w:val="32"/>
          <w:szCs w:val="32"/>
          <w:lang w:eastAsia="zh-CN"/>
        </w:rPr>
        <w:t>法律法规</w:t>
      </w:r>
      <w:r>
        <w:rPr>
          <w:rFonts w:hint="default" w:ascii="Times New Roman" w:hAnsi="Times New Roman" w:eastAsia="仿宋" w:cs="Times New Roman"/>
          <w:sz w:val="32"/>
          <w:szCs w:val="32"/>
        </w:rPr>
        <w:t>。组织拟订并监督实施公路、水路等行业规划、政策</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会同有关部门组织编制综合运输体系规划。负责本系统、本部门依法行政工作，落实行政执法责任制。指导公路、水路行业有关体制改革工作，负责全县物流管理工作。承担道路、水路交通运输市场监管责任，组织制定道路运输有关政策、技术标准和运营规范并监督实施，指导乡镇管理工作，指导出租汽车行业管理工作，会同有关部门制定运输价格。</w:t>
      </w:r>
      <w:r>
        <w:rPr>
          <w:rFonts w:hint="default" w:ascii="Times New Roman" w:hAnsi="Times New Roman" w:eastAsia="仿宋" w:cs="Times New Roman"/>
          <w:kern w:val="2"/>
          <w:sz w:val="32"/>
          <w:szCs w:val="32"/>
          <w:lang w:val="en-US" w:eastAsia="zh-CN" w:bidi="ar-SA"/>
        </w:rPr>
        <w:t>拟订公路、水路工程建设相关政策、制度、技术标准并监督实施，组织协调公路有关重点工程建设和工程质量、安全生产监督管理工作，负责对交通行业和产业项目的招标投标活动的监督执法，承担全县高速公路统一管理、建设的有关工作（我县暂无高速公路）。指导交通运输基础设施管理和维护，承担有关重要设施的管理和维护。按规定指导交通运输行业经营管理，会同有关部门组织实施交通运输行业职业资格管理工作。指导公路、水路行业安全生产和应急管理工作。按规定组织协调省、州、县重点物资和紧急客货运输。组织协调地方交通战备工作，承担国防动员有关工作。制定交通运输科技政策并监督实施，组织重大科技开发。指导全县交通运输信息化建设，监测分析运行情况，开展相关统计工作，发布有关信息。指导公路、水路行业环境保护和节能减排工作。负责公路、水路有关涉外工作，开展对外经济技术交流与合作，指导全县交通运输行业招商引资和利用外资工作。 强化参与拟订物流业发展战略和规划，拟订有关政策并监督实施的职责。负责全县交通行政综合执法工作。</w:t>
      </w:r>
    </w:p>
    <w:p>
      <w:pPr>
        <w:numPr>
          <w:ilvl w:val="0"/>
          <w:numId w:val="1"/>
        </w:numPr>
        <w:spacing w:line="580" w:lineRule="exact"/>
        <w:ind w:left="0" w:leftChars="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人员概况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lang w:eastAsia="zh-CN"/>
        </w:rPr>
        <w:t>1.编制</w:t>
      </w:r>
      <w:r>
        <w:rPr>
          <w:rFonts w:hint="default" w:ascii="Times New Roman" w:hAnsi="Times New Roman" w:eastAsia="仿宋" w:cs="Times New Roman"/>
          <w:sz w:val="32"/>
          <w:szCs w:val="32"/>
        </w:rPr>
        <w:t>情况：截至202</w:t>
      </w:r>
      <w:r>
        <w:rPr>
          <w:rFonts w:hint="default" w:ascii="Times New Roman" w:hAnsi="Times New Roman" w:eastAsia="仿宋" w:cs="Times New Roman"/>
          <w:sz w:val="32"/>
          <w:szCs w:val="32"/>
          <w:lang w:val="en-US" w:eastAsia="zh-CN"/>
        </w:rPr>
        <w:t>4</w:t>
      </w:r>
      <w:r>
        <w:rPr>
          <w:rFonts w:hint="default" w:ascii="Times New Roman" w:hAnsi="Times New Roman" w:eastAsia="仿宋" w:cs="Times New Roman"/>
          <w:sz w:val="32"/>
          <w:szCs w:val="32"/>
        </w:rPr>
        <w:t>年末，</w:t>
      </w:r>
      <w:r>
        <w:rPr>
          <w:rFonts w:hint="default" w:ascii="Times New Roman" w:hAnsi="Times New Roman" w:eastAsia="仿宋" w:cs="Times New Roman"/>
          <w:sz w:val="32"/>
          <w:szCs w:val="32"/>
          <w:lang w:eastAsia="zh-CN"/>
        </w:rPr>
        <w:t>我</w:t>
      </w:r>
      <w:r>
        <w:rPr>
          <w:rFonts w:hint="default" w:ascii="Times New Roman" w:hAnsi="Times New Roman" w:eastAsia="仿宋" w:cs="Times New Roman"/>
          <w:sz w:val="32"/>
          <w:szCs w:val="32"/>
        </w:rPr>
        <w:t>单位</w:t>
      </w:r>
      <w:r>
        <w:rPr>
          <w:rFonts w:hint="default" w:ascii="Times New Roman" w:hAnsi="Times New Roman" w:eastAsia="仿宋" w:cs="Times New Roman"/>
          <w:sz w:val="32"/>
          <w:szCs w:val="32"/>
          <w:lang w:val="en-US" w:eastAsia="zh-CN"/>
        </w:rPr>
        <w:t>行政</w:t>
      </w:r>
      <w:r>
        <w:rPr>
          <w:rFonts w:hint="default" w:ascii="Times New Roman" w:hAnsi="Times New Roman" w:eastAsia="仿宋" w:cs="Times New Roman"/>
          <w:sz w:val="32"/>
          <w:szCs w:val="32"/>
        </w:rPr>
        <w:t>编制</w:t>
      </w:r>
      <w:r>
        <w:rPr>
          <w:rFonts w:hint="default" w:ascii="Times New Roman" w:hAnsi="Times New Roman" w:eastAsia="仿宋" w:cs="Times New Roman"/>
          <w:sz w:val="32"/>
          <w:szCs w:val="32"/>
          <w:lang w:val="en-US" w:eastAsia="zh-CN"/>
        </w:rPr>
        <w:t>37</w:t>
      </w:r>
      <w:r>
        <w:rPr>
          <w:rFonts w:hint="default" w:ascii="Times New Roman" w:hAnsi="Times New Roman" w:eastAsia="仿宋" w:cs="Times New Roman"/>
          <w:sz w:val="32"/>
          <w:szCs w:val="32"/>
        </w:rPr>
        <w:t>名，</w:t>
      </w:r>
      <w:r>
        <w:rPr>
          <w:rFonts w:hint="default" w:ascii="Times New Roman" w:hAnsi="Times New Roman" w:eastAsia="仿宋" w:cs="Times New Roman"/>
          <w:sz w:val="32"/>
          <w:szCs w:val="32"/>
          <w:lang w:eastAsia="zh-CN"/>
        </w:rPr>
        <w:t>其中公务员</w:t>
      </w:r>
      <w:r>
        <w:rPr>
          <w:rFonts w:hint="default" w:ascii="Times New Roman" w:hAnsi="Times New Roman" w:eastAsia="仿宋" w:cs="Times New Roman"/>
          <w:sz w:val="32"/>
          <w:szCs w:val="32"/>
        </w:rPr>
        <w:t>编制</w:t>
      </w:r>
      <w:r>
        <w:rPr>
          <w:rFonts w:hint="default" w:ascii="Times New Roman" w:hAnsi="Times New Roman" w:eastAsia="仿宋" w:cs="Times New Roman"/>
          <w:sz w:val="32"/>
          <w:szCs w:val="32"/>
          <w:lang w:val="en-US" w:eastAsia="zh-CN"/>
        </w:rPr>
        <w:t>8名</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val="en-US" w:eastAsia="zh-CN"/>
        </w:rPr>
        <w:t>参公编制11名，</w:t>
      </w:r>
      <w:r>
        <w:rPr>
          <w:rFonts w:hint="default" w:ascii="Times New Roman" w:hAnsi="Times New Roman" w:eastAsia="仿宋" w:cs="Times New Roman"/>
          <w:sz w:val="32"/>
          <w:szCs w:val="32"/>
        </w:rPr>
        <w:t>事业编制</w:t>
      </w:r>
      <w:r>
        <w:rPr>
          <w:rFonts w:hint="default" w:ascii="Times New Roman" w:hAnsi="Times New Roman" w:eastAsia="仿宋" w:cs="Times New Roman"/>
          <w:sz w:val="32"/>
          <w:szCs w:val="32"/>
          <w:lang w:val="en-US" w:eastAsia="zh-CN"/>
        </w:rPr>
        <w:t>14名</w:t>
      </w:r>
      <w:r>
        <w:rPr>
          <w:rFonts w:hint="default" w:ascii="Times New Roman" w:hAnsi="Times New Roman" w:eastAsia="仿宋" w:cs="Times New Roman"/>
          <w:sz w:val="32"/>
          <w:szCs w:val="32"/>
          <w:lang w:eastAsia="zh-CN"/>
        </w:rPr>
        <w:t>，机关</w:t>
      </w:r>
      <w:r>
        <w:rPr>
          <w:rFonts w:hint="default" w:ascii="Times New Roman" w:hAnsi="Times New Roman" w:eastAsia="仿宋" w:cs="Times New Roman"/>
          <w:sz w:val="32"/>
          <w:szCs w:val="32"/>
        </w:rPr>
        <w:t>工勤</w:t>
      </w:r>
      <w:r>
        <w:rPr>
          <w:rFonts w:hint="default" w:ascii="Times New Roman" w:hAnsi="Times New Roman" w:eastAsia="仿宋" w:cs="Times New Roman"/>
          <w:sz w:val="32"/>
          <w:szCs w:val="32"/>
          <w:lang w:eastAsia="zh-CN"/>
        </w:rPr>
        <w:t>编制4名</w:t>
      </w:r>
      <w:r>
        <w:rPr>
          <w:rFonts w:hint="default" w:ascii="Times New Roman" w:hAnsi="Times New Roman" w:eastAsia="仿宋" w:cs="Times New Roman"/>
          <w:sz w:val="32"/>
          <w:szCs w:val="32"/>
        </w:rPr>
        <w:t>。</w:t>
      </w:r>
    </w:p>
    <w:p>
      <w:pPr>
        <w:pageBreakBefore w:val="0"/>
        <w:widowControl/>
        <w:numPr>
          <w:ilvl w:val="0"/>
          <w:numId w:val="2"/>
        </w:numPr>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在岗人员情况：</w:t>
      </w:r>
      <w:r>
        <w:rPr>
          <w:rFonts w:hint="default" w:ascii="Times New Roman" w:hAnsi="Times New Roman" w:eastAsia="仿宋" w:cs="Times New Roman"/>
          <w:sz w:val="32"/>
          <w:szCs w:val="32"/>
          <w:lang w:eastAsia="zh-CN"/>
        </w:rPr>
        <w:t>我局年</w:t>
      </w:r>
      <w:r>
        <w:rPr>
          <w:rFonts w:hint="default" w:ascii="Times New Roman" w:hAnsi="Times New Roman" w:eastAsia="仿宋" w:cs="Times New Roman"/>
          <w:sz w:val="32"/>
          <w:szCs w:val="32"/>
        </w:rPr>
        <w:t>末实有人数</w:t>
      </w:r>
      <w:r>
        <w:rPr>
          <w:rFonts w:hint="default" w:ascii="Times New Roman" w:hAnsi="Times New Roman" w:eastAsia="仿宋" w:cs="Times New Roman"/>
          <w:sz w:val="32"/>
          <w:szCs w:val="32"/>
          <w:lang w:val="en-US" w:eastAsia="zh-CN"/>
        </w:rPr>
        <w:t>32</w:t>
      </w:r>
      <w:r>
        <w:rPr>
          <w:rFonts w:hint="default" w:ascii="Times New Roman" w:hAnsi="Times New Roman" w:eastAsia="仿宋" w:cs="Times New Roman"/>
          <w:sz w:val="32"/>
          <w:szCs w:val="32"/>
        </w:rPr>
        <w:t>人，其中：</w:t>
      </w:r>
      <w:r>
        <w:rPr>
          <w:rFonts w:hint="default" w:ascii="Times New Roman" w:hAnsi="Times New Roman" w:eastAsia="仿宋" w:cs="Times New Roman"/>
          <w:sz w:val="32"/>
          <w:szCs w:val="32"/>
          <w:lang w:eastAsia="zh-CN"/>
        </w:rPr>
        <w:t>公务员及参公：</w:t>
      </w:r>
      <w:r>
        <w:rPr>
          <w:rFonts w:hint="default" w:ascii="Times New Roman" w:hAnsi="Times New Roman" w:eastAsia="仿宋" w:cs="Times New Roman"/>
          <w:sz w:val="32"/>
          <w:szCs w:val="32"/>
          <w:lang w:val="en-US" w:eastAsia="zh-CN"/>
        </w:rPr>
        <w:t>13</w:t>
      </w:r>
      <w:r>
        <w:rPr>
          <w:rFonts w:hint="default" w:ascii="Times New Roman" w:hAnsi="Times New Roman" w:eastAsia="仿宋" w:cs="Times New Roman"/>
          <w:sz w:val="32"/>
          <w:szCs w:val="32"/>
        </w:rPr>
        <w:t>名</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事业人员</w:t>
      </w:r>
      <w:r>
        <w:rPr>
          <w:rFonts w:hint="default" w:ascii="Times New Roman" w:hAnsi="Times New Roman" w:eastAsia="仿宋" w:cs="Times New Roman"/>
          <w:sz w:val="32"/>
          <w:szCs w:val="32"/>
          <w:lang w:val="en-US" w:eastAsia="zh-CN"/>
        </w:rPr>
        <w:t>14</w:t>
      </w:r>
      <w:r>
        <w:rPr>
          <w:rFonts w:hint="default" w:ascii="Times New Roman" w:hAnsi="Times New Roman" w:eastAsia="仿宋" w:cs="Times New Roman"/>
          <w:sz w:val="32"/>
          <w:szCs w:val="32"/>
          <w:lang w:eastAsia="zh-CN"/>
        </w:rPr>
        <w:t>名，机关工勤人员</w:t>
      </w:r>
      <w:r>
        <w:rPr>
          <w:rFonts w:hint="default" w:ascii="Times New Roman" w:hAnsi="Times New Roman" w:eastAsia="仿宋" w:cs="Times New Roman"/>
          <w:sz w:val="32"/>
          <w:szCs w:val="32"/>
          <w:lang w:val="en-US" w:eastAsia="zh-CN"/>
        </w:rPr>
        <w:t>5名</w:t>
      </w:r>
      <w:r>
        <w:rPr>
          <w:rFonts w:hint="default" w:ascii="Times New Roman" w:hAnsi="Times New Roman" w:eastAsia="仿宋" w:cs="Times New Roman"/>
          <w:sz w:val="32"/>
          <w:szCs w:val="32"/>
        </w:rPr>
        <w:t>。</w:t>
      </w:r>
    </w:p>
    <w:p>
      <w:pPr>
        <w:spacing w:line="580" w:lineRule="exact"/>
        <w:ind w:firstLine="640" w:firstLineChars="200"/>
        <w:rPr>
          <w:rFonts w:hint="default" w:ascii="Times New Roman" w:hAnsi="Times New Roman" w:eastAsia="仿宋_GB2312" w:cs="Times New Roman"/>
          <w:sz w:val="32"/>
          <w:szCs w:val="32"/>
        </w:rPr>
      </w:pP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二、部门财政资金收支情况</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（一）部门财政资金收入情况。</w:t>
      </w:r>
    </w:p>
    <w:p>
      <w:pPr>
        <w:pageBreakBefore w:val="0"/>
        <w:kinsoku/>
        <w:wordWrap/>
        <w:overflowPunct/>
        <w:topLinePunct w:val="0"/>
        <w:autoSpaceDE/>
        <w:autoSpaceDN/>
        <w:bidi w:val="0"/>
        <w:adjustRightInd/>
        <w:snapToGrid w:val="0"/>
        <w:spacing w:line="560" w:lineRule="exact"/>
        <w:ind w:firstLine="640" w:firstLineChars="200"/>
        <w:jc w:val="lef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本单位</w:t>
      </w:r>
      <w:r>
        <w:rPr>
          <w:rFonts w:hint="default" w:ascii="Times New Roman" w:hAnsi="Times New Roman" w:eastAsia="仿宋" w:cs="Times New Roman"/>
          <w:sz w:val="32"/>
          <w:szCs w:val="32"/>
          <w:lang w:val="en-US" w:eastAsia="zh-CN"/>
        </w:rPr>
        <w:t>2024</w:t>
      </w:r>
      <w:r>
        <w:rPr>
          <w:rFonts w:hint="default" w:ascii="Times New Roman" w:hAnsi="Times New Roman" w:eastAsia="仿宋" w:cs="Times New Roman"/>
          <w:sz w:val="32"/>
          <w:szCs w:val="32"/>
        </w:rPr>
        <w:t>年</w:t>
      </w:r>
      <w:r>
        <w:rPr>
          <w:rFonts w:hint="default" w:ascii="Times New Roman" w:hAnsi="Times New Roman" w:eastAsia="仿宋" w:cs="Times New Roman"/>
          <w:sz w:val="32"/>
          <w:szCs w:val="32"/>
          <w:lang w:eastAsia="zh-CN"/>
        </w:rPr>
        <w:t>财政</w:t>
      </w:r>
      <w:r>
        <w:rPr>
          <w:rFonts w:hint="default" w:ascii="Times New Roman" w:hAnsi="Times New Roman" w:eastAsia="仿宋" w:cs="Times New Roman"/>
          <w:sz w:val="32"/>
          <w:szCs w:val="32"/>
        </w:rPr>
        <w:t>收入</w:t>
      </w:r>
      <w:r>
        <w:rPr>
          <w:rFonts w:hint="default" w:ascii="Times New Roman" w:hAnsi="Times New Roman" w:eastAsia="仿宋" w:cs="Times New Roman"/>
          <w:sz w:val="32"/>
          <w:szCs w:val="32"/>
          <w:lang w:val="en-US" w:eastAsia="zh-CN"/>
        </w:rPr>
        <w:t>9448.7</w:t>
      </w:r>
      <w:r>
        <w:rPr>
          <w:rFonts w:hint="default" w:ascii="Times New Roman" w:hAnsi="Times New Roman" w:eastAsia="仿宋" w:cs="Times New Roman"/>
          <w:sz w:val="32"/>
          <w:szCs w:val="32"/>
        </w:rPr>
        <w:t>万元</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其中：一般公共预算财政拨款收入</w:t>
      </w:r>
      <w:r>
        <w:rPr>
          <w:rFonts w:hint="default" w:ascii="Times New Roman" w:hAnsi="Times New Roman" w:eastAsia="仿宋_GB2312" w:cs="Times New Roman"/>
          <w:color w:val="000000" w:themeColor="text1"/>
          <w:sz w:val="32"/>
          <w:szCs w:val="32"/>
          <w:shd w:val="clear" w:color="auto" w:fill="auto"/>
          <w:lang w:val="en-US" w:eastAsia="zh-CN"/>
          <w14:textFill>
            <w14:solidFill>
              <w14:schemeClr w14:val="tx1"/>
            </w14:solidFill>
          </w14:textFill>
        </w:rPr>
        <w:t>9243.7</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97.8</w:t>
      </w:r>
      <w:r>
        <w:rPr>
          <w:rFonts w:hint="default" w:ascii="Times New Roman" w:hAnsi="Times New Roman" w:eastAsia="仿宋" w:cs="Times New Roman"/>
          <w:sz w:val="32"/>
          <w:szCs w:val="32"/>
        </w:rPr>
        <w:t>%；政府性基金预算财政拨款收入</w:t>
      </w:r>
      <w:r>
        <w:rPr>
          <w:rFonts w:hint="default" w:ascii="Times New Roman" w:hAnsi="Times New Roman" w:eastAsia="仿宋" w:cs="Times New Roman"/>
          <w:sz w:val="32"/>
          <w:szCs w:val="32"/>
          <w:lang w:val="en-US" w:eastAsia="zh-CN"/>
        </w:rPr>
        <w:t>52.1</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0.6</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其他收入</w:t>
      </w:r>
      <w:r>
        <w:rPr>
          <w:rFonts w:hint="default" w:ascii="Times New Roman" w:hAnsi="Times New Roman" w:eastAsia="仿宋" w:cs="Times New Roman"/>
          <w:sz w:val="32"/>
          <w:szCs w:val="32"/>
          <w:lang w:val="en-US" w:eastAsia="zh-CN"/>
        </w:rPr>
        <w:t>152.8</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1.6</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eastAsia="zh-CN"/>
        </w:rPr>
        <w:t>。</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（二）部门财政资金支出情况。</w:t>
      </w:r>
    </w:p>
    <w:p>
      <w:pPr>
        <w:pageBreakBefore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lang w:eastAsia="zh-CN"/>
        </w:rPr>
        <w:t>1.全年</w:t>
      </w:r>
      <w:r>
        <w:rPr>
          <w:rFonts w:hint="default" w:ascii="Times New Roman" w:hAnsi="Times New Roman" w:eastAsia="仿宋" w:cs="Times New Roman"/>
          <w:sz w:val="32"/>
          <w:szCs w:val="32"/>
        </w:rPr>
        <w:t>预算支出</w:t>
      </w:r>
      <w:r>
        <w:rPr>
          <w:rFonts w:hint="default" w:ascii="Times New Roman" w:hAnsi="Times New Roman" w:eastAsia="仿宋" w:cs="Times New Roman"/>
          <w:sz w:val="32"/>
          <w:szCs w:val="32"/>
          <w:lang w:val="en-US" w:eastAsia="zh-CN"/>
        </w:rPr>
        <w:t>9448.7</w:t>
      </w:r>
      <w:r>
        <w:rPr>
          <w:rFonts w:hint="default" w:ascii="Times New Roman" w:hAnsi="Times New Roman" w:eastAsia="仿宋" w:cs="Times New Roman"/>
          <w:sz w:val="32"/>
          <w:szCs w:val="32"/>
        </w:rPr>
        <w:t>万元，本年</w:t>
      </w:r>
      <w:r>
        <w:rPr>
          <w:rFonts w:hint="default" w:ascii="Times New Roman" w:hAnsi="Times New Roman" w:eastAsia="仿宋" w:cs="Times New Roman"/>
          <w:sz w:val="32"/>
          <w:szCs w:val="32"/>
          <w:lang w:eastAsia="zh-CN"/>
        </w:rPr>
        <w:t>决算</w:t>
      </w:r>
      <w:r>
        <w:rPr>
          <w:rFonts w:hint="default" w:ascii="Times New Roman" w:hAnsi="Times New Roman" w:eastAsia="仿宋" w:cs="Times New Roman"/>
          <w:sz w:val="32"/>
          <w:szCs w:val="32"/>
        </w:rPr>
        <w:t>支出</w:t>
      </w:r>
      <w:r>
        <w:rPr>
          <w:rFonts w:hint="default" w:ascii="Times New Roman" w:hAnsi="Times New Roman" w:eastAsia="仿宋" w:cs="Times New Roman"/>
          <w:sz w:val="32"/>
          <w:szCs w:val="32"/>
          <w:lang w:val="en-US" w:eastAsia="zh-CN"/>
        </w:rPr>
        <w:t>9448.7</w:t>
      </w:r>
      <w:r>
        <w:rPr>
          <w:rFonts w:hint="default" w:ascii="Times New Roman" w:hAnsi="Times New Roman" w:eastAsia="仿宋" w:cs="Times New Roman"/>
          <w:sz w:val="32"/>
          <w:szCs w:val="32"/>
        </w:rPr>
        <w:t>万元</w:t>
      </w:r>
      <w:r>
        <w:rPr>
          <w:rFonts w:hint="default" w:ascii="Times New Roman" w:hAnsi="Times New Roman" w:eastAsia="仿宋" w:cs="Times New Roman"/>
          <w:sz w:val="32"/>
          <w:szCs w:val="32"/>
          <w:lang w:eastAsia="zh-CN"/>
        </w:rPr>
        <w:t>，</w:t>
      </w:r>
      <w:r>
        <w:rPr>
          <w:rFonts w:hint="eastAsia" w:eastAsia="仿宋" w:cs="Times New Roman"/>
          <w:sz w:val="32"/>
          <w:szCs w:val="32"/>
          <w:lang w:eastAsia="zh-CN"/>
        </w:rPr>
        <w:t>决算支出占预算</w:t>
      </w:r>
      <w:r>
        <w:rPr>
          <w:rFonts w:hint="default" w:ascii="Times New Roman" w:hAnsi="Times New Roman" w:eastAsia="仿宋" w:cs="Times New Roman"/>
          <w:sz w:val="32"/>
          <w:szCs w:val="32"/>
          <w:lang w:val="en-US" w:eastAsia="zh-CN"/>
        </w:rPr>
        <w:t>支出的100</w:t>
      </w:r>
      <w:r>
        <w:rPr>
          <w:rFonts w:hint="default" w:ascii="Times New Roman" w:hAnsi="Times New Roman" w:eastAsia="仿宋" w:cs="Times New Roman"/>
          <w:sz w:val="32"/>
          <w:szCs w:val="32"/>
        </w:rPr>
        <w:t xml:space="preserve">%。 </w:t>
      </w:r>
    </w:p>
    <w:p>
      <w:pPr>
        <w:pageBreakBefore w:val="0"/>
        <w:kinsoku/>
        <w:wordWrap/>
        <w:overflowPunct/>
        <w:topLinePunct w:val="0"/>
        <w:autoSpaceDE/>
        <w:autoSpaceDN/>
        <w:bidi w:val="0"/>
        <w:adjustRightInd/>
        <w:snapToGrid w:val="0"/>
        <w:spacing w:line="560" w:lineRule="exact"/>
        <w:ind w:firstLine="640" w:firstLineChars="200"/>
        <w:jc w:val="left"/>
        <w:textAlignment w:val="auto"/>
        <w:rPr>
          <w:rFonts w:hint="default" w:ascii="Times New Roman" w:hAnsi="Times New Roman" w:cs="Times New Roman"/>
        </w:rPr>
      </w:pPr>
      <w:r>
        <w:rPr>
          <w:rFonts w:hint="default" w:ascii="Times New Roman" w:hAnsi="Times New Roman" w:eastAsia="仿宋" w:cs="Times New Roman"/>
          <w:sz w:val="32"/>
          <w:szCs w:val="32"/>
        </w:rPr>
        <w:t>2. 本年支出</w:t>
      </w:r>
      <w:r>
        <w:rPr>
          <w:rFonts w:hint="default" w:ascii="Times New Roman" w:hAnsi="Times New Roman" w:eastAsia="仿宋" w:cs="Times New Roman"/>
          <w:sz w:val="32"/>
          <w:szCs w:val="32"/>
          <w:lang w:val="en-US" w:eastAsia="zh-CN"/>
        </w:rPr>
        <w:t>9448.7</w:t>
      </w:r>
      <w:r>
        <w:rPr>
          <w:rFonts w:hint="default" w:ascii="Times New Roman" w:hAnsi="Times New Roman" w:eastAsia="仿宋" w:cs="Times New Roman"/>
          <w:sz w:val="32"/>
          <w:szCs w:val="32"/>
        </w:rPr>
        <w:t>万元，按支出性质分析：基本支出</w:t>
      </w:r>
      <w:r>
        <w:rPr>
          <w:rFonts w:hint="default" w:ascii="Times New Roman" w:hAnsi="Times New Roman" w:eastAsia="仿宋_GB2312" w:cs="Times New Roman"/>
          <w:color w:val="000000" w:themeColor="text1"/>
          <w:sz w:val="32"/>
          <w:szCs w:val="32"/>
          <w:shd w:val="clear" w:color="auto" w:fill="auto"/>
          <w:lang w:val="en-US" w:eastAsia="zh-CN"/>
          <w14:textFill>
            <w14:solidFill>
              <w14:schemeClr w14:val="tx1"/>
            </w14:solidFill>
          </w14:textFill>
        </w:rPr>
        <w:t>741.66</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eastAsia="zh-CN"/>
        </w:rPr>
        <w:t>本年总支出的7</w:t>
      </w:r>
      <w:r>
        <w:rPr>
          <w:rFonts w:hint="default" w:ascii="Times New Roman" w:hAnsi="Times New Roman" w:eastAsia="仿宋" w:cs="Times New Roman"/>
          <w:sz w:val="32"/>
          <w:szCs w:val="32"/>
          <w:lang w:val="en-US" w:eastAsia="zh-CN"/>
        </w:rPr>
        <w:t>.8</w:t>
      </w:r>
      <w:r>
        <w:rPr>
          <w:rFonts w:hint="default" w:ascii="Times New Roman" w:hAnsi="Times New Roman" w:eastAsia="仿宋" w:cs="Times New Roman"/>
          <w:sz w:val="32"/>
          <w:szCs w:val="32"/>
        </w:rPr>
        <w:t>%；项目支出</w:t>
      </w:r>
      <w:r>
        <w:rPr>
          <w:rFonts w:hint="default" w:ascii="Times New Roman" w:hAnsi="Times New Roman" w:eastAsia="仿宋_GB2312" w:cs="Times New Roman"/>
          <w:color w:val="000000" w:themeColor="text1"/>
          <w:sz w:val="32"/>
          <w:szCs w:val="32"/>
          <w:shd w:val="clear" w:color="auto" w:fill="auto"/>
          <w:lang w:val="en-US" w:eastAsia="zh-CN"/>
          <w14:textFill>
            <w14:solidFill>
              <w14:schemeClr w14:val="tx1"/>
            </w14:solidFill>
          </w14:textFill>
        </w:rPr>
        <w:t>8707.04</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eastAsia="zh-CN"/>
        </w:rPr>
        <w:t>本年总支出的92</w:t>
      </w:r>
      <w:r>
        <w:rPr>
          <w:rFonts w:hint="default" w:ascii="Times New Roman" w:hAnsi="Times New Roman" w:eastAsia="仿宋" w:cs="Times New Roman"/>
          <w:sz w:val="32"/>
          <w:szCs w:val="32"/>
          <w:lang w:val="en-US" w:eastAsia="zh-CN"/>
        </w:rPr>
        <w:t>.2</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按支出经济分类：工资福利支出</w:t>
      </w:r>
      <w:r>
        <w:rPr>
          <w:rFonts w:hint="default" w:ascii="Times New Roman" w:hAnsi="Times New Roman" w:eastAsia="仿宋" w:cs="Times New Roman"/>
          <w:sz w:val="32"/>
          <w:szCs w:val="32"/>
          <w:lang w:val="en-US" w:eastAsia="zh-CN"/>
        </w:rPr>
        <w:t>617.89</w:t>
      </w:r>
      <w:r>
        <w:rPr>
          <w:rFonts w:hint="default" w:ascii="Times New Roman" w:hAnsi="Times New Roman" w:eastAsia="仿宋" w:cs="Times New Roman"/>
          <w:sz w:val="32"/>
          <w:szCs w:val="32"/>
        </w:rPr>
        <w:t>万元，占本年支出</w:t>
      </w:r>
      <w:r>
        <w:rPr>
          <w:rFonts w:hint="default" w:ascii="Times New Roman" w:hAnsi="Times New Roman" w:eastAsia="仿宋" w:cs="Times New Roman"/>
          <w:sz w:val="32"/>
          <w:szCs w:val="32"/>
          <w:lang w:eastAsia="zh-CN"/>
        </w:rPr>
        <w:t>的6</w:t>
      </w:r>
      <w:r>
        <w:rPr>
          <w:rFonts w:hint="default" w:ascii="Times New Roman" w:hAnsi="Times New Roman" w:eastAsia="仿宋" w:cs="Times New Roman"/>
          <w:sz w:val="32"/>
          <w:szCs w:val="32"/>
          <w:lang w:val="en-US" w:eastAsia="zh-CN"/>
        </w:rPr>
        <w:t>.5</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商品和服务</w:t>
      </w:r>
      <w:r>
        <w:rPr>
          <w:rFonts w:hint="default" w:ascii="Times New Roman" w:hAnsi="Times New Roman" w:eastAsia="仿宋" w:cs="Times New Roman"/>
          <w:sz w:val="32"/>
          <w:szCs w:val="32"/>
          <w:lang w:eastAsia="zh-CN"/>
        </w:rPr>
        <w:t>支出</w:t>
      </w:r>
      <w:r>
        <w:rPr>
          <w:rFonts w:hint="default" w:ascii="Times New Roman" w:hAnsi="Times New Roman" w:eastAsia="仿宋" w:cs="Times New Roman"/>
          <w:sz w:val="32"/>
          <w:szCs w:val="32"/>
          <w:lang w:val="en-US" w:eastAsia="zh-CN"/>
        </w:rPr>
        <w:t>1233.23</w:t>
      </w:r>
      <w:r>
        <w:rPr>
          <w:rFonts w:hint="default" w:ascii="Times New Roman" w:hAnsi="Times New Roman" w:eastAsia="仿宋" w:cs="Times New Roman"/>
          <w:sz w:val="32"/>
          <w:szCs w:val="32"/>
        </w:rPr>
        <w:t>万元，占本年支出</w:t>
      </w:r>
      <w:r>
        <w:rPr>
          <w:rFonts w:hint="default" w:ascii="Times New Roman" w:hAnsi="Times New Roman" w:eastAsia="仿宋" w:cs="Times New Roman"/>
          <w:sz w:val="32"/>
          <w:szCs w:val="32"/>
          <w:lang w:eastAsia="zh-CN"/>
        </w:rPr>
        <w:t>的13</w:t>
      </w:r>
      <w:r>
        <w:rPr>
          <w:rFonts w:hint="default" w:ascii="Times New Roman" w:hAnsi="Times New Roman" w:eastAsia="仿宋" w:cs="Times New Roman"/>
          <w:sz w:val="32"/>
          <w:szCs w:val="32"/>
          <w:lang w:val="en-US" w:eastAsia="zh-CN"/>
        </w:rPr>
        <w:t>.1</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eastAsia="zh-CN"/>
        </w:rPr>
        <w:t>；</w:t>
      </w:r>
      <w:r>
        <w:rPr>
          <w:rFonts w:hint="eastAsia" w:eastAsia="仿宋" w:cs="Times New Roman"/>
          <w:sz w:val="32"/>
          <w:szCs w:val="32"/>
          <w:lang w:eastAsia="zh-CN"/>
        </w:rPr>
        <w:t>对家庭的</w:t>
      </w:r>
      <w:r>
        <w:rPr>
          <w:rFonts w:hint="default" w:ascii="Times New Roman" w:hAnsi="Times New Roman" w:eastAsia="仿宋" w:cs="Times New Roman"/>
          <w:sz w:val="32"/>
          <w:szCs w:val="32"/>
          <w:lang w:eastAsia="zh-CN"/>
        </w:rPr>
        <w:t>补助支出</w:t>
      </w:r>
      <w:r>
        <w:rPr>
          <w:rFonts w:hint="default" w:ascii="Times New Roman" w:hAnsi="Times New Roman" w:eastAsia="仿宋" w:cs="Times New Roman"/>
          <w:sz w:val="32"/>
          <w:szCs w:val="32"/>
          <w:lang w:val="en-US" w:eastAsia="zh-CN"/>
        </w:rPr>
        <w:t>41.64</w:t>
      </w:r>
      <w:r>
        <w:rPr>
          <w:rFonts w:hint="default" w:ascii="Times New Roman" w:hAnsi="Times New Roman" w:eastAsia="仿宋" w:cs="Times New Roman"/>
          <w:sz w:val="32"/>
          <w:szCs w:val="32"/>
          <w:lang w:eastAsia="zh-CN"/>
        </w:rPr>
        <w:t>万元，占本年支出的0</w:t>
      </w:r>
      <w:r>
        <w:rPr>
          <w:rFonts w:hint="default" w:ascii="Times New Roman" w:hAnsi="Times New Roman" w:eastAsia="仿宋" w:cs="Times New Roman"/>
          <w:sz w:val="32"/>
          <w:szCs w:val="32"/>
          <w:lang w:val="en-US"/>
        </w:rPr>
        <w:t>.</w:t>
      </w:r>
      <w:r>
        <w:rPr>
          <w:rFonts w:hint="default" w:ascii="Times New Roman" w:hAnsi="Times New Roman" w:eastAsia="仿宋" w:cs="Times New Roman"/>
          <w:sz w:val="32"/>
          <w:szCs w:val="32"/>
          <w:lang w:val="en-US" w:eastAsia="zh-CN"/>
        </w:rPr>
        <w:t>4</w:t>
      </w:r>
      <w:r>
        <w:rPr>
          <w:rFonts w:hint="default" w:ascii="Times New Roman" w:hAnsi="Times New Roman" w:eastAsia="仿宋" w:cs="Times New Roman"/>
          <w:sz w:val="32"/>
          <w:szCs w:val="32"/>
          <w:lang w:val="en-US"/>
        </w:rPr>
        <w:t>%</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lang w:eastAsia="zh-CN"/>
        </w:rPr>
        <w:t>资本性支出（基本建设）</w:t>
      </w:r>
      <w:r>
        <w:rPr>
          <w:rFonts w:hint="default" w:ascii="Times New Roman" w:hAnsi="Times New Roman" w:eastAsia="仿宋" w:cs="Times New Roman"/>
          <w:sz w:val="32"/>
          <w:szCs w:val="32"/>
          <w:lang w:val="en-US" w:eastAsia="zh-CN"/>
        </w:rPr>
        <w:t>200万元</w:t>
      </w:r>
      <w:r>
        <w:rPr>
          <w:rFonts w:hint="default" w:ascii="Times New Roman" w:hAnsi="Times New Roman" w:eastAsia="仿宋" w:cs="Times New Roman"/>
          <w:sz w:val="32"/>
          <w:szCs w:val="32"/>
        </w:rPr>
        <w:t>，占本年总支出的</w:t>
      </w:r>
      <w:r>
        <w:rPr>
          <w:rFonts w:hint="default" w:ascii="Times New Roman" w:hAnsi="Times New Roman" w:eastAsia="仿宋" w:cs="Times New Roman"/>
          <w:sz w:val="32"/>
          <w:szCs w:val="32"/>
          <w:lang w:val="en-US" w:eastAsia="zh-CN"/>
        </w:rPr>
        <w:t>2.1</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eastAsia="zh-CN"/>
        </w:rPr>
        <w:t>；资本性</w:t>
      </w:r>
      <w:r>
        <w:rPr>
          <w:rFonts w:hint="default" w:ascii="Times New Roman" w:hAnsi="Times New Roman" w:eastAsia="仿宋" w:cs="Times New Roman"/>
          <w:sz w:val="32"/>
          <w:szCs w:val="32"/>
        </w:rPr>
        <w:t>支出</w:t>
      </w:r>
      <w:r>
        <w:rPr>
          <w:rFonts w:hint="default" w:ascii="Times New Roman" w:hAnsi="Times New Roman" w:eastAsia="仿宋" w:cs="Times New Roman"/>
          <w:sz w:val="32"/>
          <w:szCs w:val="32"/>
          <w:lang w:val="en-US" w:eastAsia="zh-CN"/>
        </w:rPr>
        <w:t>6202.55</w:t>
      </w:r>
      <w:r>
        <w:rPr>
          <w:rFonts w:hint="default" w:ascii="Times New Roman" w:hAnsi="Times New Roman" w:eastAsia="仿宋" w:cs="Times New Roman"/>
          <w:sz w:val="32"/>
          <w:szCs w:val="32"/>
        </w:rPr>
        <w:t>万元，占本年总支出的</w:t>
      </w:r>
      <w:r>
        <w:rPr>
          <w:rFonts w:hint="default" w:ascii="Times New Roman" w:hAnsi="Times New Roman" w:eastAsia="仿宋" w:cs="Times New Roman"/>
          <w:sz w:val="32"/>
          <w:szCs w:val="32"/>
          <w:lang w:val="en-US" w:eastAsia="zh-CN"/>
        </w:rPr>
        <w:t>65.7</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eastAsia="zh-CN"/>
        </w:rPr>
        <w:t>；对企业补助</w:t>
      </w:r>
      <w:r>
        <w:rPr>
          <w:rFonts w:hint="default" w:ascii="Times New Roman" w:hAnsi="Times New Roman" w:eastAsia="仿宋" w:cs="Times New Roman"/>
          <w:sz w:val="32"/>
          <w:szCs w:val="32"/>
          <w:lang w:val="en-US" w:eastAsia="zh-CN"/>
        </w:rPr>
        <w:t>1153.39万元，</w:t>
      </w:r>
      <w:r>
        <w:rPr>
          <w:rFonts w:hint="default" w:ascii="Times New Roman" w:hAnsi="Times New Roman" w:eastAsia="仿宋" w:cs="Times New Roman"/>
          <w:sz w:val="32"/>
          <w:szCs w:val="32"/>
        </w:rPr>
        <w:t>占本年总支出的</w:t>
      </w:r>
      <w:r>
        <w:rPr>
          <w:rFonts w:hint="default" w:ascii="Times New Roman" w:hAnsi="Times New Roman" w:eastAsia="仿宋" w:cs="Times New Roman"/>
          <w:sz w:val="32"/>
          <w:szCs w:val="32"/>
          <w:lang w:val="en-US" w:eastAsia="zh-CN"/>
        </w:rPr>
        <w:t>12.2</w:t>
      </w:r>
      <w:r>
        <w:rPr>
          <w:rFonts w:hint="default" w:ascii="Times New Roman" w:hAnsi="Times New Roman" w:eastAsia="仿宋" w:cs="Times New Roman"/>
          <w:sz w:val="32"/>
          <w:szCs w:val="32"/>
        </w:rPr>
        <w:t>%。</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三、部门整体预算绩效管理情况（根据适用指标体系进行调整）</w:t>
      </w:r>
    </w:p>
    <w:p>
      <w:pPr>
        <w:pageBreakBefore w:val="0"/>
        <w:kinsoku/>
        <w:wordWrap/>
        <w:overflowPunct/>
        <w:topLinePunct w:val="0"/>
        <w:autoSpaceDE/>
        <w:autoSpaceDN/>
        <w:bidi w:val="0"/>
        <w:adjustRightInd/>
        <w:snapToGrid w:val="0"/>
        <w:spacing w:line="560" w:lineRule="exact"/>
        <w:ind w:firstLine="640" w:firstLineChars="200"/>
        <w:jc w:val="lef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（一）部门预算管理</w:t>
      </w:r>
    </w:p>
    <w:p>
      <w:pPr>
        <w:pageBreakBefore w:val="0"/>
        <w:kinsoku/>
        <w:wordWrap/>
        <w:overflowPunct/>
        <w:topLinePunct w:val="0"/>
        <w:autoSpaceDE/>
        <w:autoSpaceDN/>
        <w:bidi w:val="0"/>
        <w:adjustRightInd/>
        <w:snapToGrid w:val="0"/>
        <w:spacing w:line="560" w:lineRule="exact"/>
        <w:ind w:firstLine="640" w:firstLineChars="200"/>
        <w:jc w:val="lef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我中心按照县级部门预算编制通知和有关要求，对</w:t>
      </w:r>
      <w:r>
        <w:rPr>
          <w:rFonts w:hint="default" w:ascii="Times New Roman" w:hAnsi="Times New Roman" w:eastAsia="仿宋" w:cs="Times New Roman"/>
          <w:sz w:val="32"/>
          <w:szCs w:val="32"/>
          <w:lang w:val="en-US" w:eastAsia="zh-CN"/>
        </w:rPr>
        <w:t>2024</w:t>
      </w:r>
      <w:r>
        <w:rPr>
          <w:rFonts w:hint="default" w:ascii="Times New Roman" w:hAnsi="Times New Roman" w:eastAsia="仿宋" w:cs="Times New Roman"/>
          <w:sz w:val="32"/>
          <w:szCs w:val="32"/>
        </w:rPr>
        <w:t>年的各项收入及支出</w:t>
      </w:r>
      <w:r>
        <w:rPr>
          <w:rFonts w:hint="default" w:ascii="Times New Roman" w:hAnsi="Times New Roman" w:eastAsia="仿宋" w:cs="Times New Roman"/>
          <w:sz w:val="32"/>
          <w:szCs w:val="32"/>
          <w:lang w:eastAsia="zh-CN"/>
        </w:rPr>
        <w:t>做了认真</w:t>
      </w:r>
      <w:r>
        <w:rPr>
          <w:rFonts w:hint="default" w:ascii="Times New Roman" w:hAnsi="Times New Roman" w:eastAsia="仿宋" w:cs="Times New Roman"/>
          <w:sz w:val="32"/>
          <w:szCs w:val="32"/>
        </w:rPr>
        <w:t>的清理，真实、准确、全面、及时</w:t>
      </w:r>
      <w:r>
        <w:rPr>
          <w:rFonts w:hint="default" w:ascii="Times New Roman" w:hAnsi="Times New Roman" w:eastAsia="仿宋" w:cs="Times New Roman"/>
          <w:sz w:val="32"/>
          <w:szCs w:val="32"/>
          <w:lang w:eastAsia="zh-CN"/>
        </w:rPr>
        <w:t>地</w:t>
      </w:r>
      <w:r>
        <w:rPr>
          <w:rFonts w:hint="default" w:ascii="Times New Roman" w:hAnsi="Times New Roman" w:eastAsia="仿宋" w:cs="Times New Roman"/>
          <w:sz w:val="32"/>
          <w:szCs w:val="32"/>
        </w:rPr>
        <w:t>完成年度</w:t>
      </w:r>
      <w:r>
        <w:rPr>
          <w:rFonts w:hint="default" w:ascii="Times New Roman" w:hAnsi="Times New Roman" w:eastAsia="仿宋" w:cs="Times New Roman"/>
          <w:sz w:val="32"/>
          <w:szCs w:val="32"/>
          <w:lang w:eastAsia="zh-CN"/>
        </w:rPr>
        <w:t>预算</w:t>
      </w:r>
      <w:r>
        <w:rPr>
          <w:rFonts w:hint="default" w:ascii="Times New Roman" w:hAnsi="Times New Roman" w:eastAsia="仿宋" w:cs="Times New Roman"/>
          <w:sz w:val="32"/>
          <w:szCs w:val="32"/>
        </w:rPr>
        <w:t>、决算工作；认真</w:t>
      </w:r>
      <w:r>
        <w:rPr>
          <w:rFonts w:hint="default" w:ascii="Times New Roman" w:hAnsi="Times New Roman" w:eastAsia="仿宋" w:cs="Times New Roman"/>
          <w:sz w:val="32"/>
          <w:szCs w:val="32"/>
          <w:lang w:eastAsia="zh-CN"/>
        </w:rPr>
        <w:t>填报</w:t>
      </w:r>
      <w:r>
        <w:rPr>
          <w:rFonts w:hint="default" w:ascii="Times New Roman" w:hAnsi="Times New Roman" w:eastAsia="仿宋" w:cs="Times New Roman"/>
          <w:sz w:val="32"/>
          <w:szCs w:val="32"/>
        </w:rPr>
        <w:t>绩效</w:t>
      </w:r>
      <w:r>
        <w:rPr>
          <w:rFonts w:hint="default" w:ascii="Times New Roman" w:hAnsi="Times New Roman" w:eastAsia="仿宋" w:cs="Times New Roman"/>
          <w:sz w:val="32"/>
          <w:szCs w:val="32"/>
          <w:lang w:eastAsia="zh-CN"/>
        </w:rPr>
        <w:t>目标</w:t>
      </w:r>
      <w:r>
        <w:rPr>
          <w:rFonts w:hint="default" w:ascii="Times New Roman" w:hAnsi="Times New Roman" w:eastAsia="仿宋" w:cs="Times New Roman"/>
          <w:sz w:val="32"/>
          <w:szCs w:val="32"/>
        </w:rPr>
        <w:t xml:space="preserve">，对专项预算进行分期、分批并结合实际提前细化，保障正常运行。 </w:t>
      </w:r>
    </w:p>
    <w:p>
      <w:pPr>
        <w:pageBreakBefore w:val="0"/>
        <w:kinsoku/>
        <w:wordWrap/>
        <w:overflowPunct/>
        <w:topLinePunct w:val="0"/>
        <w:autoSpaceDE/>
        <w:autoSpaceDN/>
        <w:bidi w:val="0"/>
        <w:adjustRightInd/>
        <w:snapToGrid w:val="0"/>
        <w:spacing w:line="560" w:lineRule="exact"/>
        <w:ind w:firstLine="640" w:firstLineChars="200"/>
        <w:jc w:val="lef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（二）专项预算管理</w:t>
      </w:r>
    </w:p>
    <w:p>
      <w:pPr>
        <w:pageBreakBefore w:val="0"/>
        <w:kinsoku/>
        <w:wordWrap/>
        <w:overflowPunct/>
        <w:topLinePunct w:val="0"/>
        <w:autoSpaceDE/>
        <w:autoSpaceDN/>
        <w:bidi w:val="0"/>
        <w:adjustRightInd/>
        <w:snapToGrid w:val="0"/>
        <w:spacing w:line="560" w:lineRule="exact"/>
        <w:ind w:firstLine="640" w:firstLineChars="200"/>
        <w:jc w:val="left"/>
        <w:textAlignment w:val="auto"/>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lang w:val="en-US" w:eastAsia="zh-CN"/>
        </w:rPr>
        <w:t>2024</w:t>
      </w:r>
      <w:r>
        <w:rPr>
          <w:rFonts w:hint="default" w:ascii="Times New Roman" w:hAnsi="Times New Roman" w:eastAsia="仿宋" w:cs="Times New Roman"/>
          <w:sz w:val="32"/>
          <w:szCs w:val="32"/>
        </w:rPr>
        <w:t>年县</w:t>
      </w:r>
      <w:r>
        <w:rPr>
          <w:rFonts w:hint="default" w:ascii="Times New Roman" w:hAnsi="Times New Roman" w:eastAsia="仿宋" w:cs="Times New Roman"/>
          <w:sz w:val="32"/>
          <w:szCs w:val="32"/>
          <w:lang w:eastAsia="zh-CN"/>
        </w:rPr>
        <w:t>交通局</w:t>
      </w:r>
      <w:r>
        <w:rPr>
          <w:rFonts w:hint="default" w:ascii="Times New Roman" w:hAnsi="Times New Roman" w:eastAsia="仿宋" w:cs="Times New Roman"/>
          <w:sz w:val="32"/>
          <w:szCs w:val="32"/>
        </w:rPr>
        <w:t>专项预算资金按年拨款，专项资金按实际发生情况调拨支付。</w:t>
      </w:r>
      <w:r>
        <w:rPr>
          <w:rFonts w:hint="default" w:ascii="Times New Roman" w:hAnsi="Times New Roman" w:eastAsia="仿宋" w:cs="Times New Roman"/>
          <w:sz w:val="32"/>
          <w:szCs w:val="32"/>
          <w:lang w:eastAsia="zh-CN"/>
        </w:rPr>
        <w:t>本年</w:t>
      </w:r>
      <w:r>
        <w:rPr>
          <w:rFonts w:hint="default" w:ascii="Times New Roman" w:hAnsi="Times New Roman" w:eastAsia="仿宋" w:cs="Times New Roman"/>
          <w:sz w:val="32"/>
          <w:szCs w:val="32"/>
        </w:rPr>
        <w:t>专项经费拨款为</w:t>
      </w:r>
      <w:r>
        <w:rPr>
          <w:rFonts w:hint="default" w:ascii="Times New Roman" w:hAnsi="Times New Roman" w:eastAsia="仿宋" w:cs="Times New Roman"/>
          <w:sz w:val="32"/>
          <w:szCs w:val="32"/>
          <w:lang w:val="en-US" w:eastAsia="zh-CN"/>
        </w:rPr>
        <w:t>8707.04</w:t>
      </w:r>
      <w:r>
        <w:rPr>
          <w:rFonts w:hint="default" w:ascii="Times New Roman" w:hAnsi="Times New Roman" w:eastAsia="仿宋" w:cs="Times New Roman"/>
          <w:sz w:val="32"/>
          <w:szCs w:val="32"/>
        </w:rPr>
        <w:t>万元</w:t>
      </w:r>
      <w:r>
        <w:rPr>
          <w:rFonts w:hint="default" w:ascii="Times New Roman" w:hAnsi="Times New Roman" w:eastAsia="仿宋" w:cs="Times New Roman"/>
          <w:sz w:val="32"/>
          <w:szCs w:val="32"/>
          <w:lang w:eastAsia="zh-CN"/>
        </w:rPr>
        <w:t>。</w:t>
      </w:r>
    </w:p>
    <w:p>
      <w:pPr>
        <w:keepNext w:val="0"/>
        <w:keepLines w:val="0"/>
        <w:pageBreakBefore w:val="0"/>
        <w:widowControl w:val="0"/>
        <w:suppressLineNumbers w:val="0"/>
        <w:kinsoku/>
        <w:wordWrap/>
        <w:overflowPunct/>
        <w:topLinePunct w:val="0"/>
        <w:autoSpaceDN/>
        <w:bidi w:val="0"/>
        <w:spacing w:before="0" w:beforeAutospacing="0" w:after="0" w:afterAutospacing="0" w:line="560" w:lineRule="exact"/>
        <w:ind w:left="0" w:right="0" w:firstLine="640" w:firstLineChars="200"/>
        <w:jc w:val="both"/>
        <w:textAlignment w:val="auto"/>
        <w:rPr>
          <w:rFonts w:hint="default" w:ascii="Times New Roman" w:hAnsi="Times New Roman" w:cs="Times New Roman"/>
          <w:b w:val="0"/>
          <w:bCs w:val="0"/>
        </w:rPr>
      </w:pPr>
      <w:r>
        <w:rPr>
          <w:rFonts w:hint="default" w:ascii="Times New Roman" w:hAnsi="Times New Roman" w:eastAsia="仿宋" w:cs="Times New Roman"/>
          <w:b w:val="0"/>
          <w:bCs w:val="0"/>
          <w:color w:val="000000"/>
          <w:kern w:val="0"/>
          <w:sz w:val="32"/>
          <w:szCs w:val="32"/>
          <w:highlight w:val="none"/>
          <w:u w:color="000000"/>
          <w:shd w:val="clear" w:color="auto" w:fill="FFFFFF"/>
          <w:lang w:val="en-US" w:eastAsia="zh-CN" w:bidi="ar-SA"/>
        </w:rPr>
        <w:t>1.贯彻落实中央和部、省、州重大部署情况。</w:t>
      </w:r>
      <w:r>
        <w:rPr>
          <w:rFonts w:hint="default" w:ascii="Times New Roman" w:hAnsi="Times New Roman" w:eastAsia="仿宋" w:cs="Times New Roman"/>
          <w:b w:val="0"/>
          <w:bCs w:val="0"/>
          <w:color w:val="000000"/>
          <w:kern w:val="2"/>
          <w:sz w:val="32"/>
          <w:szCs w:val="32"/>
          <w:u w:color="000000"/>
          <w:lang w:val="en-US" w:eastAsia="zh-CN" w:bidi="ar"/>
        </w:rPr>
        <w:t>深入学习贯彻习近平总书记关于加快建设交通强国的重要论述和来川视察重要指示精神，全面落实“交通强国”“交通强省”“交通强州”战略部署，立足“四向通道、全域拓展”新格局，加快推进“两横三纵”主通道建设，抢抓“县县通高速”战略契机，开展S28茂县经黑水至红原高速公路前期工作，S446、S447、S449线松黑路稳步有序推进，全力破除交通发展瓶颈。同时，高标准高品质高水平建设美丽乡村路，进一步做实农村公路管理养护绩效考核，大力培育全国“四好农村路”示范县，切实提升我县交通运输服务水平。</w:t>
      </w:r>
    </w:p>
    <w:p>
      <w:pPr>
        <w:pStyle w:val="8"/>
        <w:keepNext w:val="0"/>
        <w:keepLines w:val="0"/>
        <w:widowControl w:val="0"/>
        <w:suppressLineNumbers w:val="0"/>
        <w:autoSpaceDE w:val="0"/>
        <w:autoSpaceDN/>
        <w:spacing w:before="0" w:beforeAutospacing="0" w:after="0" w:afterAutospacing="0" w:line="560" w:lineRule="exact"/>
        <w:ind w:left="0" w:leftChars="0" w:firstLine="640" w:firstLineChars="200"/>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lang w:val="en-US" w:eastAsia="zh-CN"/>
        </w:rPr>
        <w:t>2.</w:t>
      </w:r>
      <w:r>
        <w:rPr>
          <w:rFonts w:hint="default" w:ascii="Times New Roman" w:hAnsi="Times New Roman" w:eastAsia="仿宋_GB2312" w:cs="Times New Roman"/>
          <w:b w:val="0"/>
          <w:bCs w:val="0"/>
          <w:kern w:val="0"/>
          <w:sz w:val="32"/>
          <w:szCs w:val="32"/>
        </w:rPr>
        <w:t>高效推进交通基础设施建设。今年我县共实施交通项目13个，其中：高速公路项目1个，国省干线公路项目3个，农村公路项目9个；新建项目2个，续建项目8个，待争取开工项目3个。投资109亿元的S28茂县经黑水至红原高速公路项目已启动前期工作，目前已完成工可编制，待省交通运输厅审定后进一步确定相关技术指标。投资5.67亿元的S446线松潘县草原乡至黑水县麻窝乡提升改造工程于2022年5月开工建设，今年完成投资7600万元，占年度计划投资的36.34%</w:t>
      </w:r>
      <w:r>
        <w:rPr>
          <w:rFonts w:hint="default" w:ascii="Times New Roman" w:hAnsi="Times New Roman" w:eastAsia="仿宋_GB2312" w:cs="Times New Roman"/>
          <w:b w:val="0"/>
          <w:bCs w:val="0"/>
          <w:kern w:val="0"/>
          <w:sz w:val="32"/>
          <w:szCs w:val="32"/>
          <w:lang w:eastAsia="zh-CN"/>
        </w:rPr>
        <w:t>；</w:t>
      </w:r>
      <w:r>
        <w:rPr>
          <w:rFonts w:hint="default" w:ascii="Times New Roman" w:hAnsi="Times New Roman" w:eastAsia="仿宋_GB2312" w:cs="Times New Roman"/>
          <w:b w:val="0"/>
          <w:bCs w:val="0"/>
          <w:kern w:val="0"/>
          <w:sz w:val="32"/>
          <w:szCs w:val="32"/>
        </w:rPr>
        <w:t>累计完成投资6.2318亿元，占总投资的77.91%，各项工作有序推进，预计2025年6月底完工。投资2.41亿元的S447线黑水县热里至卡龙沟段改建工程于2023年10月开工建设，本年完成投资10528万元，占年度计划投资的58%；自开工累计完成投资12372万元，占概算总投资3.655亿的33.8%，正在开展桥梁施工，预计2025年6月底完工。投资5191.5617万元的S449线达古冰川连接线项目于2023年10月底开工建设，今年完成投资3820万元，目前项目已完工。投资2989.3445万元的黑水县Y020芦花镇（谷汝村）幸福美丽乡村路项目</w:t>
      </w:r>
      <w:r>
        <w:rPr>
          <w:rFonts w:hint="default" w:ascii="Times New Roman" w:hAnsi="Times New Roman" w:eastAsia="仿宋_GB2312" w:cs="Times New Roman"/>
          <w:b w:val="0"/>
          <w:bCs w:val="0"/>
          <w:kern w:val="0"/>
          <w:sz w:val="32"/>
          <w:szCs w:val="32"/>
          <w:lang w:eastAsia="zh-CN"/>
        </w:rPr>
        <w:t>已完成</w:t>
      </w:r>
      <w:r>
        <w:rPr>
          <w:rFonts w:hint="default" w:ascii="Times New Roman" w:hAnsi="Times New Roman" w:eastAsia="仿宋_GB2312" w:cs="Times New Roman"/>
          <w:b w:val="0"/>
          <w:bCs w:val="0"/>
          <w:kern w:val="0"/>
          <w:sz w:val="32"/>
          <w:szCs w:val="32"/>
        </w:rPr>
        <w:t>交（竣）工验收，正在开展结算审计工作和水土保持监测工作。投资2918.8106万元的黑水县芦花镇四美村幸福美丽乡村路项目于2023年9月开工建设，本年完成投资980万元，自开工累计完成投资1289万元，占预算总投资的44.16%，预计2024年12月完工。</w:t>
      </w:r>
      <w:r>
        <w:rPr>
          <w:rFonts w:hint="default" w:ascii="Times New Roman" w:hAnsi="Times New Roman" w:eastAsia="仿宋_GB2312" w:cs="Times New Roman"/>
          <w:b w:val="0"/>
          <w:bCs w:val="0"/>
          <w:color w:val="000000"/>
          <w:kern w:val="0"/>
          <w:sz w:val="32"/>
          <w:szCs w:val="32"/>
        </w:rPr>
        <w:t>投资6416.06万元的黑水县木苏镇Y009新街至雅都幸福美丽乡村路项目已于2024年4月1日正式开工建设，本年完成投资1671万元，自开工累计完成投资1671万元，目前已完成合同价的42.6%产值，预计2025年8</w:t>
      </w:r>
      <w:r>
        <w:rPr>
          <w:rFonts w:hint="default" w:ascii="Times New Roman" w:hAnsi="Times New Roman" w:eastAsia="仿宋_GB2312" w:cs="Times New Roman"/>
          <w:b w:val="0"/>
          <w:bCs w:val="0"/>
          <w:color w:val="000000"/>
          <w:kern w:val="0"/>
          <w:sz w:val="32"/>
          <w:szCs w:val="32"/>
          <w:lang w:eastAsia="zh-CN"/>
        </w:rPr>
        <w:t>月</w:t>
      </w:r>
      <w:r>
        <w:rPr>
          <w:rFonts w:hint="eastAsia" w:eastAsia="仿宋_GB2312" w:cs="Times New Roman"/>
          <w:b w:val="0"/>
          <w:bCs w:val="0"/>
          <w:color w:val="000000"/>
          <w:kern w:val="0"/>
          <w:sz w:val="32"/>
          <w:szCs w:val="32"/>
          <w:lang w:eastAsia="zh-CN"/>
        </w:rPr>
        <w:t>完</w:t>
      </w:r>
      <w:r>
        <w:rPr>
          <w:rFonts w:hint="default" w:ascii="Times New Roman" w:hAnsi="Times New Roman" w:eastAsia="仿宋_GB2312" w:cs="Times New Roman"/>
          <w:b w:val="0"/>
          <w:bCs w:val="0"/>
          <w:color w:val="000000"/>
          <w:kern w:val="0"/>
          <w:sz w:val="32"/>
          <w:szCs w:val="32"/>
          <w:lang w:eastAsia="zh-CN"/>
        </w:rPr>
        <w:t>工</w:t>
      </w:r>
      <w:r>
        <w:rPr>
          <w:rFonts w:hint="default" w:ascii="Times New Roman" w:hAnsi="Times New Roman" w:eastAsia="仿宋_GB2312" w:cs="Times New Roman"/>
          <w:b w:val="0"/>
          <w:bCs w:val="0"/>
          <w:color w:val="000000"/>
          <w:kern w:val="0"/>
          <w:sz w:val="32"/>
          <w:szCs w:val="32"/>
        </w:rPr>
        <w:t>。</w:t>
      </w:r>
      <w:r>
        <w:rPr>
          <w:rFonts w:hint="default" w:ascii="Times New Roman" w:hAnsi="Times New Roman" w:eastAsia="仿宋_GB2312" w:cs="Times New Roman"/>
          <w:b w:val="0"/>
          <w:bCs w:val="0"/>
          <w:kern w:val="0"/>
          <w:sz w:val="32"/>
          <w:szCs w:val="32"/>
        </w:rPr>
        <w:t>投资261.38万元</w:t>
      </w:r>
      <w:r>
        <w:rPr>
          <w:rFonts w:hint="default" w:ascii="Times New Roman" w:hAnsi="Times New Roman" w:eastAsia="仿宋_GB2312" w:cs="Times New Roman"/>
          <w:b w:val="0"/>
          <w:bCs w:val="0"/>
          <w:kern w:val="0"/>
          <w:sz w:val="32"/>
          <w:szCs w:val="32"/>
          <w:lang w:eastAsia="zh-CN"/>
        </w:rPr>
        <w:t>的黑水县</w:t>
      </w:r>
      <w:r>
        <w:rPr>
          <w:rFonts w:hint="default" w:ascii="Times New Roman" w:hAnsi="Times New Roman" w:eastAsia="仿宋_GB2312" w:cs="Times New Roman"/>
          <w:b w:val="0"/>
          <w:bCs w:val="0"/>
          <w:kern w:val="0"/>
          <w:sz w:val="32"/>
          <w:szCs w:val="32"/>
        </w:rPr>
        <w:t>2023年农村公路安防</w:t>
      </w:r>
      <w:r>
        <w:rPr>
          <w:rFonts w:hint="default" w:ascii="Times New Roman" w:hAnsi="Times New Roman" w:eastAsia="仿宋_GB2312" w:cs="Times New Roman"/>
          <w:b w:val="0"/>
          <w:bCs w:val="0"/>
          <w:kern w:val="0"/>
          <w:sz w:val="32"/>
          <w:szCs w:val="32"/>
          <w:lang w:eastAsia="zh-CN"/>
        </w:rPr>
        <w:t>工程</w:t>
      </w:r>
      <w:r>
        <w:rPr>
          <w:rFonts w:hint="default" w:ascii="Times New Roman" w:hAnsi="Times New Roman" w:eastAsia="仿宋_GB2312" w:cs="Times New Roman"/>
          <w:b w:val="0"/>
          <w:bCs w:val="0"/>
          <w:kern w:val="0"/>
          <w:sz w:val="32"/>
          <w:szCs w:val="32"/>
        </w:rPr>
        <w:t>已于2024年4月完成交（竣）工验收工作，目前已完成结算审计工作</w:t>
      </w:r>
      <w:r>
        <w:rPr>
          <w:rFonts w:hint="default" w:ascii="Times New Roman" w:hAnsi="Times New Roman" w:eastAsia="仿宋_GB2312" w:cs="Times New Roman"/>
          <w:b w:val="0"/>
          <w:bCs w:val="0"/>
          <w:kern w:val="0"/>
          <w:sz w:val="32"/>
          <w:szCs w:val="32"/>
          <w:lang w:eastAsia="zh-CN"/>
        </w:rPr>
        <w:t>。</w:t>
      </w:r>
      <w:r>
        <w:rPr>
          <w:rFonts w:hint="default" w:ascii="Times New Roman" w:hAnsi="Times New Roman" w:eastAsia="仿宋_GB2312" w:cs="Times New Roman"/>
          <w:b w:val="0"/>
          <w:bCs w:val="0"/>
          <w:kern w:val="0"/>
          <w:sz w:val="32"/>
          <w:szCs w:val="32"/>
        </w:rPr>
        <w:t>投资327.31万元的2023年黑水县农村公路养护</w:t>
      </w:r>
      <w:r>
        <w:rPr>
          <w:rFonts w:hint="default" w:ascii="Times New Roman" w:hAnsi="Times New Roman" w:eastAsia="仿宋_GB2312" w:cs="Times New Roman"/>
          <w:b w:val="0"/>
          <w:bCs w:val="0"/>
          <w:kern w:val="0"/>
          <w:sz w:val="32"/>
          <w:szCs w:val="32"/>
          <w:lang w:eastAsia="zh-CN"/>
        </w:rPr>
        <w:t>工程</w:t>
      </w:r>
      <w:r>
        <w:rPr>
          <w:rFonts w:hint="default" w:ascii="Times New Roman" w:hAnsi="Times New Roman" w:eastAsia="仿宋_GB2312" w:cs="Times New Roman"/>
          <w:b w:val="0"/>
          <w:bCs w:val="0"/>
          <w:kern w:val="0"/>
          <w:sz w:val="32"/>
          <w:szCs w:val="32"/>
        </w:rPr>
        <w:t>已于9月全面完工，正在开展交（竣）工验收工作，预计12月底前完成交（竣）工结算审计工作。估算总投资2410.94万元的2024年黑水县农村公路补短工程已于2024年9月底正式开工建设，目前已完成15%的工程量，预计2025年9月完工。估算总投资4107万元的黑水县西里村、俄窝村推进乡村建设重点基础设施建设项目正在开展勘察设计工作，正在积极争取中央预算内投资。估算总投资4625万元的黑水县石碉楼乡推进乡村振兴建设重点基础设施项目已纳入四川省公路水路投资计划管理（决策支撑）信息系统幸福美丽乡村路项目库，正在开展勘察设计工作，同步积极争取上级补助资金，力争早日开工建设。估算总投资1666.61万元的黑水县C005卡龙镇才盖村幸福美丽乡村路项目正在开展勘察设计工作，正在积极对接县自然资源局，调整项目涉及到的基本农田图斑，力争早日开工建设。</w:t>
      </w:r>
    </w:p>
    <w:p>
      <w:pPr>
        <w:pStyle w:val="8"/>
        <w:keepNext w:val="0"/>
        <w:keepLines w:val="0"/>
        <w:widowControl w:val="0"/>
        <w:suppressLineNumbers w:val="0"/>
        <w:autoSpaceDE w:val="0"/>
        <w:autoSpaceDN/>
        <w:spacing w:before="0" w:beforeAutospacing="0" w:after="0" w:afterAutospacing="0" w:line="560" w:lineRule="exact"/>
        <w:ind w:left="0" w:leftChars="0" w:firstLine="640" w:firstLineChars="200"/>
        <w:rPr>
          <w:rFonts w:hint="default" w:ascii="Times New Roman" w:hAnsi="Times New Roman" w:cs="Times New Roman"/>
        </w:rPr>
      </w:pPr>
      <w:r>
        <w:rPr>
          <w:rFonts w:hint="default" w:ascii="Times New Roman" w:hAnsi="Times New Roman" w:eastAsia="仿宋_GB2312" w:cs="Times New Roman"/>
          <w:b w:val="0"/>
          <w:bCs w:val="0"/>
          <w:kern w:val="0"/>
          <w:sz w:val="32"/>
          <w:szCs w:val="32"/>
          <w:lang w:val="en-US" w:eastAsia="zh-CN"/>
        </w:rPr>
        <w:t>3.</w:t>
      </w:r>
      <w:r>
        <w:rPr>
          <w:rFonts w:hint="default" w:ascii="Times New Roman" w:hAnsi="Times New Roman" w:eastAsia="仿宋_GB2312" w:cs="Times New Roman"/>
          <w:b w:val="0"/>
          <w:bCs w:val="0"/>
          <w:kern w:val="0"/>
          <w:sz w:val="32"/>
          <w:szCs w:val="32"/>
        </w:rPr>
        <w:t>推动交通运输高质量发展。</w:t>
      </w:r>
      <w:r>
        <w:rPr>
          <w:rFonts w:hint="default" w:ascii="Times New Roman" w:hAnsi="Times New Roman" w:eastAsia="楷体_GB2312" w:cs="Times New Roman"/>
          <w:b w:val="0"/>
          <w:bCs w:val="0"/>
          <w:kern w:val="0"/>
          <w:sz w:val="32"/>
          <w:szCs w:val="32"/>
          <w:lang w:eastAsia="zh-CN"/>
        </w:rPr>
        <w:t>一是</w:t>
      </w:r>
      <w:r>
        <w:rPr>
          <w:rFonts w:hint="default" w:ascii="Times New Roman" w:hAnsi="Times New Roman" w:eastAsia="仿宋_GB2312" w:cs="Times New Roman"/>
          <w:b w:val="0"/>
          <w:bCs w:val="0"/>
          <w:kern w:val="0"/>
          <w:sz w:val="32"/>
          <w:szCs w:val="32"/>
        </w:rPr>
        <w:t>大力推进“快递进村”。建成县级营业网点1个、乡级交邮驿站15个、挂牌成立村级交邮驿站服务点100个，实现县乡村全面覆盖，打通农村寄递物流“最后一公里”。（目前站点已完成建设，</w:t>
      </w:r>
      <w:r>
        <w:rPr>
          <w:rFonts w:hint="default" w:ascii="Times New Roman" w:hAnsi="Times New Roman" w:eastAsia="仿宋_GB2312" w:cs="Times New Roman"/>
          <w:b w:val="0"/>
          <w:bCs w:val="0"/>
          <w:kern w:val="0"/>
          <w:sz w:val="32"/>
          <w:szCs w:val="32"/>
          <w:lang w:eastAsia="zh-CN"/>
        </w:rPr>
        <w:t>但</w:t>
      </w:r>
      <w:r>
        <w:rPr>
          <w:rFonts w:hint="default" w:ascii="Times New Roman" w:hAnsi="Times New Roman" w:eastAsia="仿宋_GB2312" w:cs="Times New Roman"/>
          <w:b w:val="0"/>
          <w:bCs w:val="0"/>
          <w:kern w:val="0"/>
          <w:sz w:val="32"/>
          <w:szCs w:val="32"/>
        </w:rPr>
        <w:t>村级站点基本未</w:t>
      </w:r>
      <w:r>
        <w:rPr>
          <w:rFonts w:hint="default" w:ascii="Times New Roman" w:hAnsi="Times New Roman" w:eastAsia="仿宋_GB2312" w:cs="Times New Roman"/>
          <w:b w:val="0"/>
          <w:bCs w:val="0"/>
          <w:kern w:val="0"/>
          <w:sz w:val="32"/>
          <w:szCs w:val="32"/>
          <w:lang w:eastAsia="zh-CN"/>
        </w:rPr>
        <w:t>投入使用</w:t>
      </w:r>
      <w:r>
        <w:rPr>
          <w:rFonts w:hint="default" w:ascii="Times New Roman" w:hAnsi="Times New Roman" w:eastAsia="仿宋_GB2312" w:cs="Times New Roman"/>
          <w:b w:val="0"/>
          <w:bCs w:val="0"/>
          <w:kern w:val="0"/>
          <w:sz w:val="32"/>
          <w:szCs w:val="32"/>
        </w:rPr>
        <w:t>，</w:t>
      </w:r>
      <w:r>
        <w:rPr>
          <w:rFonts w:hint="eastAsia" w:eastAsia="仿宋_GB2312" w:cs="Times New Roman"/>
          <w:b w:val="0"/>
          <w:bCs w:val="0"/>
          <w:kern w:val="0"/>
          <w:sz w:val="32"/>
          <w:szCs w:val="32"/>
          <w:lang w:eastAsia="zh-CN"/>
        </w:rPr>
        <w:t>原因</w:t>
      </w:r>
      <w:r>
        <w:rPr>
          <w:rFonts w:hint="default" w:ascii="Times New Roman" w:hAnsi="Times New Roman" w:eastAsia="仿宋_GB2312" w:cs="Times New Roman"/>
          <w:b w:val="0"/>
          <w:bCs w:val="0"/>
          <w:kern w:val="0"/>
          <w:sz w:val="32"/>
          <w:szCs w:val="32"/>
        </w:rPr>
        <w:t>是</w:t>
      </w:r>
      <w:r>
        <w:rPr>
          <w:rFonts w:hint="eastAsia" w:eastAsia="仿宋_GB2312" w:cs="Times New Roman"/>
          <w:b w:val="0"/>
          <w:bCs w:val="0"/>
          <w:kern w:val="0"/>
          <w:sz w:val="32"/>
          <w:szCs w:val="32"/>
          <w:lang w:eastAsia="zh-CN"/>
        </w:rPr>
        <w:t>没有</w:t>
      </w:r>
      <w:r>
        <w:rPr>
          <w:rFonts w:hint="default" w:ascii="Times New Roman" w:hAnsi="Times New Roman" w:eastAsia="仿宋_GB2312" w:cs="Times New Roman"/>
          <w:b w:val="0"/>
          <w:bCs w:val="0"/>
          <w:kern w:val="0"/>
          <w:sz w:val="32"/>
          <w:szCs w:val="32"/>
        </w:rPr>
        <w:t>专职人员负责日常快递收件、投递、管理等工作</w:t>
      </w:r>
      <w:r>
        <w:rPr>
          <w:rFonts w:hint="default" w:ascii="Times New Roman" w:hAnsi="Times New Roman" w:eastAsia="仿宋_GB2312" w:cs="Times New Roman"/>
          <w:b w:val="0"/>
          <w:bCs w:val="0"/>
          <w:kern w:val="0"/>
          <w:sz w:val="32"/>
          <w:szCs w:val="32"/>
          <w:lang w:eastAsia="zh-CN"/>
        </w:rPr>
        <w:t>）</w:t>
      </w:r>
      <w:r>
        <w:rPr>
          <w:rFonts w:hint="default" w:ascii="Times New Roman" w:hAnsi="Times New Roman" w:eastAsia="仿宋_GB2312" w:cs="Times New Roman"/>
          <w:b w:val="0"/>
          <w:bCs w:val="0"/>
          <w:kern w:val="0"/>
          <w:sz w:val="32"/>
          <w:szCs w:val="32"/>
        </w:rPr>
        <w:t>深化“邮快合作”，顺丰、韵达、中通等快递企业委托邮政公司代投农村地区快递，邮政和顺丰快递服务已覆盖全县15个乡镇、100个建制村，今年以来县邮政公司代投快递5万件。</w:t>
      </w:r>
      <w:r>
        <w:rPr>
          <w:rFonts w:hint="default" w:ascii="Times New Roman" w:hAnsi="Times New Roman" w:eastAsia="仿宋_GB2312" w:cs="Times New Roman"/>
          <w:b w:val="0"/>
          <w:bCs w:val="0"/>
          <w:kern w:val="0"/>
          <w:sz w:val="32"/>
          <w:szCs w:val="32"/>
          <w:lang w:eastAsia="zh-CN"/>
        </w:rPr>
        <w:t>二是</w:t>
      </w:r>
      <w:r>
        <w:rPr>
          <w:rFonts w:hint="default" w:ascii="Times New Roman" w:hAnsi="Times New Roman" w:eastAsia="仿宋_GB2312" w:cs="Times New Roman"/>
          <w:b w:val="0"/>
          <w:bCs w:val="0"/>
          <w:kern w:val="0"/>
          <w:sz w:val="32"/>
          <w:szCs w:val="32"/>
        </w:rPr>
        <w:t>恢复黑水城乡公交。制定《黑水县城乡公交恢复方案》，科学设置城乡公交补贴机制，在</w:t>
      </w:r>
      <w:r>
        <w:rPr>
          <w:rFonts w:hint="eastAsia" w:eastAsia="仿宋_GB2312" w:cs="Times New Roman"/>
          <w:b w:val="0"/>
          <w:bCs w:val="0"/>
          <w:kern w:val="0"/>
          <w:sz w:val="32"/>
          <w:szCs w:val="32"/>
          <w:lang w:eastAsia="zh-CN"/>
        </w:rPr>
        <w:t>充分考虑</w:t>
      </w:r>
      <w:r>
        <w:rPr>
          <w:rFonts w:hint="default" w:ascii="Times New Roman" w:hAnsi="Times New Roman" w:eastAsia="仿宋_GB2312" w:cs="Times New Roman"/>
          <w:b w:val="0"/>
          <w:bCs w:val="0"/>
          <w:kern w:val="0"/>
          <w:sz w:val="32"/>
          <w:szCs w:val="32"/>
        </w:rPr>
        <w:t>黑水县的地理位置和人口分布情况</w:t>
      </w:r>
      <w:r>
        <w:rPr>
          <w:rFonts w:hint="eastAsia" w:eastAsia="仿宋_GB2312" w:cs="Times New Roman"/>
          <w:b w:val="0"/>
          <w:bCs w:val="0"/>
          <w:kern w:val="0"/>
          <w:sz w:val="32"/>
          <w:szCs w:val="32"/>
          <w:lang w:eastAsia="zh-CN"/>
        </w:rPr>
        <w:t>后</w:t>
      </w:r>
      <w:r>
        <w:rPr>
          <w:rFonts w:hint="default" w:ascii="Times New Roman" w:hAnsi="Times New Roman" w:eastAsia="仿宋_GB2312" w:cs="Times New Roman"/>
          <w:b w:val="0"/>
          <w:bCs w:val="0"/>
          <w:kern w:val="0"/>
          <w:sz w:val="32"/>
          <w:szCs w:val="32"/>
        </w:rPr>
        <w:t>，开通了从黑水客运站至达古冰川景区的101线、102线等2条城乡公交线路，</w:t>
      </w:r>
      <w:r>
        <w:rPr>
          <w:rFonts w:hint="eastAsia" w:eastAsia="仿宋_GB2312" w:cs="Times New Roman"/>
          <w:b w:val="0"/>
          <w:bCs w:val="0"/>
          <w:kern w:val="0"/>
          <w:sz w:val="32"/>
          <w:szCs w:val="32"/>
          <w:lang w:eastAsia="zh-CN"/>
        </w:rPr>
        <w:t>于</w:t>
      </w:r>
      <w:r>
        <w:rPr>
          <w:rFonts w:hint="default" w:ascii="Times New Roman" w:hAnsi="Times New Roman" w:eastAsia="仿宋_GB2312" w:cs="Times New Roman"/>
          <w:b w:val="0"/>
          <w:bCs w:val="0"/>
          <w:kern w:val="0"/>
          <w:sz w:val="32"/>
          <w:szCs w:val="32"/>
        </w:rPr>
        <w:t>2024年10月底开始试运营，</w:t>
      </w:r>
      <w:r>
        <w:rPr>
          <w:rFonts w:hint="eastAsia" w:eastAsia="仿宋_GB2312" w:cs="Times New Roman"/>
          <w:b w:val="0"/>
          <w:bCs w:val="0"/>
          <w:kern w:val="0"/>
          <w:sz w:val="32"/>
          <w:szCs w:val="32"/>
          <w:lang w:eastAsia="zh-CN"/>
        </w:rPr>
        <w:t>截至目前累计</w:t>
      </w:r>
      <w:r>
        <w:rPr>
          <w:rFonts w:hint="default" w:ascii="Times New Roman" w:hAnsi="Times New Roman" w:eastAsia="仿宋_GB2312" w:cs="Times New Roman"/>
          <w:b w:val="0"/>
          <w:bCs w:val="0"/>
          <w:kern w:val="0"/>
          <w:sz w:val="32"/>
          <w:szCs w:val="32"/>
        </w:rPr>
        <w:t>运送乘客0.3万人次。</w:t>
      </w:r>
      <w:r>
        <w:rPr>
          <w:rFonts w:hint="default" w:ascii="Times New Roman" w:hAnsi="Times New Roman" w:eastAsia="仿宋_GB2312" w:cs="Times New Roman"/>
          <w:b w:val="0"/>
          <w:bCs w:val="0"/>
          <w:kern w:val="0"/>
          <w:sz w:val="32"/>
          <w:szCs w:val="32"/>
          <w:lang w:eastAsia="zh-CN"/>
        </w:rPr>
        <w:t>三是</w:t>
      </w:r>
      <w:r>
        <w:rPr>
          <w:rFonts w:hint="default" w:ascii="Times New Roman" w:hAnsi="Times New Roman" w:eastAsia="仿宋_GB2312" w:cs="Times New Roman"/>
          <w:b w:val="0"/>
          <w:bCs w:val="0"/>
          <w:kern w:val="0"/>
          <w:sz w:val="32"/>
          <w:szCs w:val="32"/>
        </w:rPr>
        <w:t>做好茂县高铁站旅客接驳。我县接驳茂县高铁站班线客运已初步具备运营条件，待茂县客运站验收后，力争202</w:t>
      </w:r>
      <w:r>
        <w:rPr>
          <w:rFonts w:hint="default" w:ascii="Times New Roman" w:hAnsi="Times New Roman" w:eastAsia="仿宋_GB2312" w:cs="Times New Roman"/>
          <w:b w:val="0"/>
          <w:bCs w:val="0"/>
          <w:kern w:val="0"/>
          <w:sz w:val="32"/>
          <w:szCs w:val="32"/>
          <w:lang w:val="en-US" w:eastAsia="zh-CN"/>
        </w:rPr>
        <w:t>5</w:t>
      </w:r>
      <w:r>
        <w:rPr>
          <w:rFonts w:hint="default" w:ascii="Times New Roman" w:hAnsi="Times New Roman" w:eastAsia="仿宋_GB2312" w:cs="Times New Roman"/>
          <w:b w:val="0"/>
          <w:bCs w:val="0"/>
          <w:kern w:val="0"/>
          <w:sz w:val="32"/>
          <w:szCs w:val="32"/>
        </w:rPr>
        <w:t>年12月底前开通接驳班线。</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（三）结果应用情况。</w:t>
      </w:r>
    </w:p>
    <w:p>
      <w:pPr>
        <w:pageBreakBefore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 w:cs="Times New Roman"/>
          <w:sz w:val="32"/>
          <w:szCs w:val="32"/>
          <w:lang w:val="zh-CN"/>
        </w:rPr>
      </w:pPr>
      <w:r>
        <w:rPr>
          <w:rFonts w:hint="default" w:ascii="Times New Roman" w:hAnsi="Times New Roman" w:eastAsia="仿宋" w:cs="Times New Roman"/>
          <w:b w:val="0"/>
          <w:bCs w:val="0"/>
          <w:color w:val="000000"/>
          <w:kern w:val="0"/>
          <w:sz w:val="32"/>
          <w:szCs w:val="32"/>
          <w:shd w:val="clear" w:color="auto" w:fill="FFFFFF"/>
          <w:lang w:val="en-US" w:eastAsia="zh-CN"/>
        </w:rPr>
        <w:t>1.</w:t>
      </w:r>
      <w:r>
        <w:rPr>
          <w:rFonts w:hint="default" w:ascii="Times New Roman" w:hAnsi="Times New Roman" w:eastAsia="仿宋" w:cs="Times New Roman"/>
          <w:b w:val="0"/>
          <w:bCs w:val="0"/>
          <w:color w:val="000000"/>
          <w:kern w:val="0"/>
          <w:sz w:val="32"/>
          <w:szCs w:val="32"/>
          <w:shd w:val="clear" w:color="auto" w:fill="FFFFFF"/>
          <w:lang w:val="zh-CN"/>
        </w:rPr>
        <w:t>财务核算，</w:t>
      </w:r>
      <w:r>
        <w:rPr>
          <w:rFonts w:hint="default" w:ascii="Times New Roman" w:hAnsi="Times New Roman" w:eastAsia="仿宋" w:cs="Times New Roman"/>
          <w:sz w:val="32"/>
          <w:szCs w:val="32"/>
          <w:lang w:val="zh-CN"/>
        </w:rPr>
        <w:t>严格依照《中华人民共和国会计法》《财务规则》《行政单位会计制度》《行政事业单位财务管理办法》等规定，进行财务管理、核算、控制和监督。</w:t>
      </w:r>
    </w:p>
    <w:p>
      <w:pPr>
        <w:pageBreakBefore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 w:cs="Times New Roman"/>
          <w:color w:val="000000"/>
          <w:kern w:val="0"/>
          <w:sz w:val="32"/>
          <w:szCs w:val="32"/>
          <w:shd w:val="clear" w:color="auto" w:fill="FFFFFF"/>
          <w:lang w:val="zh-CN"/>
        </w:rPr>
      </w:pPr>
      <w:r>
        <w:rPr>
          <w:rFonts w:hint="default" w:ascii="Times New Roman" w:hAnsi="Times New Roman" w:eastAsia="仿宋" w:cs="Times New Roman"/>
          <w:b w:val="0"/>
          <w:bCs w:val="0"/>
          <w:color w:val="000000"/>
          <w:kern w:val="0"/>
          <w:sz w:val="32"/>
          <w:szCs w:val="32"/>
          <w:shd w:val="clear" w:color="auto" w:fill="FFFFFF"/>
          <w:lang w:val="en-US" w:eastAsia="zh-CN"/>
        </w:rPr>
        <w:t>2.</w:t>
      </w:r>
      <w:r>
        <w:rPr>
          <w:rFonts w:hint="default" w:ascii="Times New Roman" w:hAnsi="Times New Roman" w:eastAsia="仿宋" w:cs="Times New Roman"/>
          <w:b w:val="0"/>
          <w:bCs w:val="0"/>
          <w:color w:val="000000"/>
          <w:kern w:val="0"/>
          <w:sz w:val="32"/>
          <w:szCs w:val="32"/>
          <w:shd w:val="clear" w:color="auto" w:fill="FFFFFF"/>
          <w:lang w:val="zh-CN"/>
        </w:rPr>
        <w:t>账务管理，</w:t>
      </w:r>
      <w:r>
        <w:rPr>
          <w:rFonts w:hint="default" w:ascii="Times New Roman" w:hAnsi="Times New Roman" w:eastAsia="仿宋" w:cs="Times New Roman"/>
          <w:sz w:val="32"/>
          <w:szCs w:val="32"/>
        </w:rPr>
        <w:t>按照国家关于会计档案管理的规定和要求，对会计凭证、</w:t>
      </w:r>
      <w:r>
        <w:rPr>
          <w:rFonts w:hint="default" w:ascii="Times New Roman" w:hAnsi="Times New Roman" w:eastAsia="仿宋" w:cs="Times New Roman"/>
          <w:sz w:val="32"/>
          <w:szCs w:val="32"/>
          <w:lang w:eastAsia="zh-CN"/>
        </w:rPr>
        <w:t>会计账簿</w:t>
      </w:r>
      <w:r>
        <w:rPr>
          <w:rFonts w:hint="default" w:ascii="Times New Roman" w:hAnsi="Times New Roman" w:eastAsia="仿宋" w:cs="Times New Roman"/>
          <w:sz w:val="32"/>
          <w:szCs w:val="32"/>
        </w:rPr>
        <w:t>、会计报表及其他会计资料，定期装订成册，整理立档，并妥善保管。</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eastAsia="仿宋" w:cs="Times New Roman"/>
          <w:color w:val="000000"/>
          <w:kern w:val="0"/>
          <w:sz w:val="32"/>
          <w:szCs w:val="32"/>
          <w:shd w:val="clear" w:color="auto" w:fill="FFFFFF"/>
          <w:lang w:val="zh-CN"/>
        </w:rPr>
      </w:pPr>
      <w:r>
        <w:rPr>
          <w:rFonts w:hint="default" w:ascii="Times New Roman" w:hAnsi="Times New Roman" w:eastAsia="仿宋" w:cs="Times New Roman"/>
          <w:b w:val="0"/>
          <w:bCs w:val="0"/>
          <w:color w:val="000000"/>
          <w:kern w:val="0"/>
          <w:sz w:val="32"/>
          <w:szCs w:val="32"/>
          <w:shd w:val="clear" w:color="auto" w:fill="FFFFFF"/>
          <w:lang w:val="en-US" w:eastAsia="zh-CN"/>
        </w:rPr>
        <w:t>3.</w:t>
      </w:r>
      <w:r>
        <w:rPr>
          <w:rFonts w:hint="default" w:ascii="Times New Roman" w:hAnsi="Times New Roman" w:eastAsia="仿宋" w:cs="Times New Roman"/>
          <w:b w:val="0"/>
          <w:bCs w:val="0"/>
          <w:color w:val="000000"/>
          <w:kern w:val="0"/>
          <w:sz w:val="32"/>
          <w:szCs w:val="32"/>
          <w:shd w:val="clear" w:color="auto" w:fill="FFFFFF"/>
          <w:lang w:val="zh-CN"/>
        </w:rPr>
        <w:t>政府采购，</w:t>
      </w:r>
      <w:r>
        <w:rPr>
          <w:rFonts w:hint="default" w:ascii="Times New Roman" w:hAnsi="Times New Roman" w:eastAsia="仿宋" w:cs="Times New Roman"/>
          <w:color w:val="000000"/>
          <w:kern w:val="0"/>
          <w:sz w:val="32"/>
          <w:szCs w:val="32"/>
          <w:highlight w:val="none"/>
          <w:shd w:val="clear" w:color="auto" w:fill="FFFFFF"/>
          <w:lang w:val="zh-CN"/>
        </w:rPr>
        <w:t>围绕支持中小企业发展、采购执行率进行绩效分析。对适宜由中小企业提供的采购项目和采购包，预留采购份额专门面向中小企业采购，并在采购预算中单独列示。部门政府采购项目资金支付比例情况，当年政府采购实际支付总金额</w:t>
      </w:r>
      <w:r>
        <w:rPr>
          <w:rFonts w:hint="default" w:ascii="Times New Roman" w:hAnsi="Times New Roman" w:eastAsia="仿宋" w:cs="Times New Roman"/>
          <w:color w:val="000000"/>
          <w:kern w:val="0"/>
          <w:sz w:val="32"/>
          <w:szCs w:val="32"/>
          <w:highlight w:val="none"/>
          <w:shd w:val="clear" w:color="auto" w:fill="FFFFFF"/>
          <w:lang w:val="en-US" w:eastAsia="zh-CN"/>
        </w:rPr>
        <w:t>540.47</w:t>
      </w:r>
      <w:r>
        <w:rPr>
          <w:rFonts w:hint="default" w:ascii="Times New Roman" w:hAnsi="Times New Roman" w:eastAsia="仿宋" w:cs="Times New Roman"/>
          <w:color w:val="000000"/>
          <w:kern w:val="0"/>
          <w:sz w:val="32"/>
          <w:szCs w:val="32"/>
          <w:highlight w:val="none"/>
          <w:shd w:val="clear" w:color="auto" w:fill="FFFFFF"/>
          <w:lang w:val="zh-CN"/>
        </w:rPr>
        <w:t>万元。</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仿宋" w:cs="Times New Roman"/>
          <w:color w:val="000000" w:themeColor="text1"/>
          <w:kern w:val="0"/>
          <w:sz w:val="32"/>
          <w:szCs w:val="32"/>
          <w14:textFill>
            <w14:solidFill>
              <w14:schemeClr w14:val="tx1"/>
            </w14:solidFill>
          </w14:textFill>
        </w:rPr>
      </w:pPr>
      <w:r>
        <w:rPr>
          <w:rFonts w:hint="default" w:ascii="Times New Roman" w:hAnsi="Times New Roman" w:eastAsia="仿宋" w:cs="Times New Roman"/>
          <w:b w:val="0"/>
          <w:bCs w:val="0"/>
          <w:color w:val="000000"/>
          <w:kern w:val="0"/>
          <w:sz w:val="32"/>
          <w:szCs w:val="32"/>
          <w:shd w:val="clear" w:color="auto" w:fill="FFFFFF"/>
          <w:lang w:val="en-US" w:eastAsia="zh-CN"/>
        </w:rPr>
        <w:t>4.</w:t>
      </w:r>
      <w:r>
        <w:rPr>
          <w:rFonts w:hint="default" w:ascii="Times New Roman" w:hAnsi="Times New Roman" w:eastAsia="仿宋" w:cs="Times New Roman"/>
          <w:b w:val="0"/>
          <w:bCs w:val="0"/>
          <w:sz w:val="32"/>
          <w:szCs w:val="32"/>
          <w:lang w:val="en-US" w:eastAsia="zh-CN"/>
        </w:rPr>
        <w:t>资金使用规范，</w:t>
      </w:r>
      <w:r>
        <w:rPr>
          <w:rFonts w:hint="default" w:ascii="Times New Roman" w:hAnsi="Times New Roman" w:eastAsia="仿宋" w:cs="Times New Roman"/>
          <w:i w:val="0"/>
          <w:iCs w:val="0"/>
          <w:caps w:val="0"/>
          <w:color w:val="000000"/>
          <w:spacing w:val="0"/>
          <w:sz w:val="32"/>
          <w:szCs w:val="32"/>
          <w:lang w:eastAsia="zh-CN"/>
        </w:rPr>
        <w:t>我局不存在超预算或无预算安排、虚列支出、超范围超标准使用经费、违规使用“三公”经费、滥发津补贴、报销不合规等情况</w:t>
      </w:r>
      <w:r>
        <w:rPr>
          <w:rFonts w:hint="default" w:ascii="Times New Roman" w:hAnsi="Times New Roman" w:eastAsia="仿宋" w:cs="Times New Roman"/>
          <w:i w:val="0"/>
          <w:iCs w:val="0"/>
          <w:caps w:val="0"/>
          <w:color w:val="000000"/>
          <w:spacing w:val="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仿宋" w:cs="Times New Roman"/>
          <w:color w:val="000000"/>
          <w:kern w:val="0"/>
          <w:sz w:val="32"/>
          <w:szCs w:val="32"/>
          <w:shd w:val="clear" w:color="auto" w:fill="FFFFFF"/>
          <w:lang w:val="zh-CN"/>
        </w:rPr>
      </w:pPr>
      <w:r>
        <w:rPr>
          <w:rFonts w:hint="default" w:ascii="Times New Roman" w:hAnsi="Times New Roman" w:eastAsia="仿宋" w:cs="Times New Roman"/>
          <w:b w:val="0"/>
          <w:bCs w:val="0"/>
          <w:color w:val="000000"/>
          <w:kern w:val="0"/>
          <w:sz w:val="32"/>
          <w:szCs w:val="32"/>
          <w:shd w:val="clear" w:color="auto" w:fill="FFFFFF"/>
          <w:lang w:val="en-US" w:eastAsia="zh-CN"/>
        </w:rPr>
        <w:t>5.</w:t>
      </w:r>
      <w:r>
        <w:rPr>
          <w:rFonts w:hint="default" w:ascii="Times New Roman" w:hAnsi="Times New Roman" w:eastAsia="仿宋" w:cs="Times New Roman"/>
          <w:b w:val="0"/>
          <w:bCs w:val="0"/>
          <w:color w:val="000000"/>
          <w:kern w:val="0"/>
          <w:sz w:val="32"/>
          <w:szCs w:val="32"/>
          <w:highlight w:val="none"/>
          <w:shd w:val="clear" w:color="auto" w:fill="FFFFFF"/>
          <w:lang w:val="en-US" w:eastAsia="zh-CN"/>
        </w:rPr>
        <w:t>实现效果：</w:t>
      </w:r>
      <w:r>
        <w:rPr>
          <w:rFonts w:hint="default" w:ascii="Times New Roman" w:hAnsi="Times New Roman" w:eastAsia="仿宋" w:cs="Times New Roman"/>
          <w:color w:val="000000"/>
          <w:sz w:val="32"/>
          <w:szCs w:val="32"/>
          <w:shd w:val="clear" w:color="auto" w:fill="FFFFFF"/>
          <w:lang w:val="en-US" w:eastAsia="zh-CN"/>
        </w:rPr>
        <w:t>项目的实施对进一步巩</w:t>
      </w:r>
      <w:r>
        <w:rPr>
          <w:rFonts w:hint="default" w:ascii="Times New Roman" w:hAnsi="Times New Roman" w:eastAsia="仿宋" w:cs="Times New Roman"/>
          <w:color w:val="000000"/>
          <w:sz w:val="32"/>
          <w:szCs w:val="32"/>
        </w:rPr>
        <w:t>固</w:t>
      </w:r>
      <w:r>
        <w:rPr>
          <w:rFonts w:hint="default" w:ascii="Times New Roman" w:hAnsi="Times New Roman" w:eastAsia="仿宋" w:cs="Times New Roman"/>
          <w:color w:val="000000"/>
          <w:sz w:val="32"/>
          <w:szCs w:val="32"/>
          <w:lang w:eastAsia="zh-CN"/>
        </w:rPr>
        <w:t>乡镇</w:t>
      </w:r>
      <w:r>
        <w:rPr>
          <w:rFonts w:hint="default" w:ascii="Times New Roman" w:hAnsi="Times New Roman" w:eastAsia="仿宋" w:cs="Times New Roman"/>
          <w:color w:val="000000"/>
          <w:sz w:val="32"/>
          <w:szCs w:val="32"/>
        </w:rPr>
        <w:t>基础设施建设成果，加强和规范</w:t>
      </w:r>
      <w:r>
        <w:rPr>
          <w:rFonts w:hint="default" w:ascii="Times New Roman" w:hAnsi="Times New Roman" w:eastAsia="仿宋" w:cs="Times New Roman"/>
          <w:color w:val="000000"/>
          <w:sz w:val="32"/>
          <w:szCs w:val="32"/>
          <w:lang w:eastAsia="zh-CN"/>
        </w:rPr>
        <w:t>乡镇</w:t>
      </w:r>
      <w:r>
        <w:rPr>
          <w:rFonts w:hint="default" w:ascii="Times New Roman" w:hAnsi="Times New Roman" w:eastAsia="仿宋" w:cs="Times New Roman"/>
          <w:color w:val="000000"/>
          <w:sz w:val="32"/>
          <w:szCs w:val="32"/>
        </w:rPr>
        <w:t>公共</w:t>
      </w:r>
      <w:r>
        <w:rPr>
          <w:rFonts w:hint="default" w:ascii="Times New Roman" w:hAnsi="Times New Roman" w:eastAsia="仿宋" w:cs="Times New Roman"/>
          <w:color w:val="000000"/>
          <w:sz w:val="32"/>
          <w:szCs w:val="32"/>
          <w:lang w:eastAsia="zh-CN"/>
        </w:rPr>
        <w:t>基础设施</w:t>
      </w:r>
      <w:r>
        <w:rPr>
          <w:rFonts w:hint="eastAsia" w:eastAsia="仿宋" w:cs="Times New Roman"/>
          <w:color w:val="000000"/>
          <w:sz w:val="32"/>
          <w:szCs w:val="32"/>
          <w:lang w:eastAsia="zh-CN"/>
        </w:rPr>
        <w:t>管理，</w:t>
      </w:r>
      <w:r>
        <w:rPr>
          <w:rFonts w:hint="default" w:ascii="Times New Roman" w:hAnsi="Times New Roman" w:eastAsia="仿宋" w:cs="Times New Roman"/>
          <w:color w:val="000000"/>
          <w:sz w:val="32"/>
          <w:szCs w:val="32"/>
        </w:rPr>
        <w:t>发挥</w:t>
      </w:r>
      <w:r>
        <w:rPr>
          <w:rFonts w:hint="default" w:ascii="Times New Roman" w:hAnsi="Times New Roman" w:eastAsia="仿宋" w:cs="Times New Roman"/>
          <w:color w:val="000000"/>
          <w:sz w:val="32"/>
          <w:szCs w:val="32"/>
          <w:lang w:eastAsia="zh-CN"/>
        </w:rPr>
        <w:t>乡镇</w:t>
      </w:r>
      <w:r>
        <w:rPr>
          <w:rFonts w:hint="default" w:ascii="Times New Roman" w:hAnsi="Times New Roman" w:eastAsia="仿宋" w:cs="Times New Roman"/>
          <w:color w:val="000000"/>
          <w:sz w:val="32"/>
          <w:szCs w:val="32"/>
        </w:rPr>
        <w:t>公共基础设施效能，</w:t>
      </w:r>
      <w:r>
        <w:rPr>
          <w:rFonts w:hint="default" w:ascii="Times New Roman" w:hAnsi="Times New Roman" w:eastAsia="仿宋" w:cs="Times New Roman"/>
          <w:color w:val="000000"/>
          <w:sz w:val="32"/>
          <w:szCs w:val="32"/>
          <w:shd w:val="clear" w:color="auto" w:fill="FFFFFF"/>
        </w:rPr>
        <w:t>推进城乡基础设施共建共享、互联互通，完善管护运行机制</w:t>
      </w:r>
      <w:r>
        <w:rPr>
          <w:rFonts w:hint="default" w:ascii="Times New Roman" w:hAnsi="Times New Roman" w:eastAsia="仿宋" w:cs="Times New Roman"/>
          <w:color w:val="000000"/>
          <w:sz w:val="32"/>
          <w:szCs w:val="32"/>
          <w:shd w:val="clear" w:color="auto" w:fill="FFFFFF"/>
          <w:lang w:val="en-US" w:eastAsia="zh-CN"/>
        </w:rPr>
        <w:t>起到积极作用</w:t>
      </w:r>
      <w:r>
        <w:rPr>
          <w:rFonts w:hint="default" w:ascii="Times New Roman" w:hAnsi="Times New Roman" w:eastAsia="仿宋" w:cs="Times New Roman"/>
          <w:color w:val="000000"/>
          <w:sz w:val="32"/>
          <w:szCs w:val="32"/>
          <w:shd w:val="clear" w:color="auto" w:fill="FFFFFF"/>
        </w:rPr>
        <w:t>。</w:t>
      </w:r>
      <w:r>
        <w:rPr>
          <w:rFonts w:hint="default" w:ascii="Times New Roman" w:hAnsi="Times New Roman" w:eastAsia="仿宋" w:cs="Times New Roman"/>
          <w:b w:val="0"/>
          <w:bCs w:val="0"/>
          <w:sz w:val="32"/>
          <w:szCs w:val="32"/>
          <w:lang w:val="en-US" w:eastAsia="zh-CN"/>
        </w:rPr>
        <w:t>黑水县</w:t>
      </w:r>
      <w:r>
        <w:rPr>
          <w:rFonts w:hint="default" w:ascii="Times New Roman" w:hAnsi="Times New Roman" w:eastAsia="仿宋" w:cs="Times New Roman"/>
          <w:sz w:val="32"/>
          <w:szCs w:val="32"/>
        </w:rPr>
        <w:t>深入贯彻落实习近平总书记关于“四好农村路”的重要指示批示精神，</w:t>
      </w:r>
      <w:r>
        <w:rPr>
          <w:rFonts w:hint="default" w:ascii="Times New Roman" w:hAnsi="Times New Roman" w:eastAsia="仿宋" w:cs="Times New Roman"/>
          <w:b w:val="0"/>
          <w:bCs w:val="0"/>
          <w:sz w:val="32"/>
          <w:szCs w:val="32"/>
          <w:lang w:val="en-US" w:eastAsia="zh-CN"/>
        </w:rPr>
        <w:t>在交通运输部的定点帮扶和省州的大力支持下，</w:t>
      </w:r>
      <w:r>
        <w:rPr>
          <w:rFonts w:hint="default" w:ascii="Times New Roman" w:hAnsi="Times New Roman" w:eastAsia="仿宋" w:cs="Times New Roman"/>
          <w:sz w:val="32"/>
          <w:szCs w:val="32"/>
          <w:lang w:val="en-US" w:eastAsia="zh-CN"/>
        </w:rPr>
        <w:t>坚定实施交通先行战略，</w:t>
      </w:r>
      <w:r>
        <w:rPr>
          <w:rFonts w:hint="default" w:ascii="Times New Roman" w:hAnsi="Times New Roman" w:eastAsia="仿宋" w:cs="Times New Roman"/>
          <w:sz w:val="32"/>
          <w:szCs w:val="32"/>
        </w:rPr>
        <w:t>全力打响交通硬仗，打通“大动脉”，畅通“微循环”，全面推进农村公路建管护运一体化建设，并通过“交通+民生+产业+旅游”，助力脱贫攻坚、赋能乡村振兴，</w:t>
      </w:r>
      <w:r>
        <w:rPr>
          <w:rFonts w:hint="default" w:ascii="Times New Roman" w:hAnsi="Times New Roman" w:eastAsia="仿宋" w:cs="Times New Roman"/>
          <w:b w:val="0"/>
          <w:bCs w:val="0"/>
          <w:sz w:val="32"/>
          <w:szCs w:val="32"/>
          <w:lang w:val="en-US" w:eastAsia="zh-CN"/>
        </w:rPr>
        <w:t>农村公路日渐成为助力黑水乡村振兴的便民路、产业路、旅游路、发展路。</w:t>
      </w:r>
      <w:r>
        <w:rPr>
          <w:rFonts w:hint="default" w:ascii="Times New Roman" w:hAnsi="Times New Roman" w:eastAsia="仿宋" w:cs="Times New Roman"/>
          <w:sz w:val="32"/>
          <w:szCs w:val="32"/>
          <w:lang w:eastAsia="zh-CN"/>
        </w:rPr>
        <w:t>人民群众满意度达</w:t>
      </w:r>
      <w:r>
        <w:rPr>
          <w:rFonts w:hint="default" w:ascii="Times New Roman" w:hAnsi="Times New Roman" w:eastAsia="仿宋" w:cs="Times New Roman"/>
          <w:sz w:val="32"/>
          <w:szCs w:val="32"/>
          <w:lang w:val="en-US" w:eastAsia="zh-CN"/>
        </w:rPr>
        <w:t>100%，达到了项目预期效果。</w:t>
      </w:r>
    </w:p>
    <w:p>
      <w:pPr>
        <w:pageBreakBefore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 w:cs="Times New Roman"/>
          <w:b/>
          <w:bCs/>
          <w:color w:val="000000"/>
          <w:kern w:val="0"/>
          <w:sz w:val="32"/>
          <w:szCs w:val="32"/>
          <w:shd w:val="clear" w:color="auto" w:fill="FFFFFF"/>
          <w:lang w:val="zh-CN"/>
        </w:rPr>
      </w:pPr>
      <w:r>
        <w:rPr>
          <w:rFonts w:hint="default" w:ascii="Times New Roman" w:hAnsi="Times New Roman" w:eastAsia="仿宋" w:cs="Times New Roman"/>
          <w:b w:val="0"/>
          <w:bCs w:val="0"/>
          <w:color w:val="000000"/>
          <w:kern w:val="0"/>
          <w:sz w:val="32"/>
          <w:szCs w:val="32"/>
          <w:shd w:val="clear" w:color="auto" w:fill="FFFFFF"/>
          <w:lang w:val="en-US" w:eastAsia="zh-CN"/>
        </w:rPr>
        <w:t>6.</w:t>
      </w:r>
      <w:r>
        <w:rPr>
          <w:rFonts w:hint="default" w:ascii="Times New Roman" w:hAnsi="Times New Roman" w:eastAsia="仿宋" w:cs="Times New Roman"/>
          <w:b w:val="0"/>
          <w:bCs w:val="0"/>
          <w:color w:val="000000"/>
          <w:kern w:val="0"/>
          <w:sz w:val="32"/>
          <w:szCs w:val="32"/>
          <w:shd w:val="clear" w:color="auto" w:fill="FFFFFF"/>
          <w:lang w:val="zh-CN"/>
        </w:rPr>
        <w:t>绩效评价及接受监督，</w:t>
      </w:r>
      <w:r>
        <w:rPr>
          <w:rFonts w:hint="default" w:ascii="Times New Roman" w:hAnsi="Times New Roman" w:eastAsia="仿宋" w:cs="Times New Roman"/>
          <w:sz w:val="32"/>
          <w:szCs w:val="32"/>
        </w:rPr>
        <w:t>我</w:t>
      </w:r>
      <w:r>
        <w:rPr>
          <w:rFonts w:hint="default" w:ascii="Times New Roman" w:hAnsi="Times New Roman" w:eastAsia="仿宋" w:cs="Times New Roman"/>
          <w:sz w:val="32"/>
          <w:szCs w:val="32"/>
          <w:lang w:eastAsia="zh-CN"/>
        </w:rPr>
        <w:t>局</w:t>
      </w:r>
      <w:r>
        <w:rPr>
          <w:rFonts w:hint="default" w:ascii="Times New Roman" w:hAnsi="Times New Roman" w:eastAsia="仿宋" w:cs="Times New Roman"/>
          <w:sz w:val="32"/>
          <w:szCs w:val="32"/>
        </w:rPr>
        <w:t>每年按规定对本单位项目</w:t>
      </w:r>
      <w:r>
        <w:rPr>
          <w:rFonts w:hint="default" w:ascii="Times New Roman" w:hAnsi="Times New Roman" w:eastAsia="仿宋" w:cs="Times New Roman"/>
          <w:sz w:val="32"/>
          <w:szCs w:val="32"/>
          <w:lang w:val="zh-CN"/>
        </w:rPr>
        <w:t>支出</w:t>
      </w:r>
      <w:r>
        <w:rPr>
          <w:rFonts w:hint="default" w:ascii="Times New Roman" w:hAnsi="Times New Roman" w:eastAsia="仿宋" w:cs="Times New Roman"/>
          <w:sz w:val="32"/>
          <w:szCs w:val="32"/>
        </w:rPr>
        <w:t>及整体支出进行绩效评价；并依法接受财政部门监督监管。</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四、评价结论及建议</w:t>
      </w:r>
    </w:p>
    <w:p>
      <w:pPr>
        <w:spacing w:line="580" w:lineRule="exact"/>
        <w:ind w:firstLine="640" w:firstLineChars="200"/>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（一）评价结论。</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本</w:t>
      </w:r>
      <w:r>
        <w:rPr>
          <w:rFonts w:hint="default" w:ascii="Times New Roman" w:hAnsi="Times New Roman" w:eastAsia="仿宋_GB2312" w:cs="Times New Roman"/>
          <w:sz w:val="32"/>
          <w:szCs w:val="32"/>
        </w:rPr>
        <w:t>单位按要求对202</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年部门整体支出开展绩效自评，从评价情况来看整体支出绩效目标基本完成，确保了各项资金的安全、有效性，实现了收支基本平衡，人员经费、重点项目等基本和重点支出。针对202</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年下达的项目资金进行了全覆盖项目支出绩效自评，项目绩效自评平均得分为</w:t>
      </w:r>
      <w:r>
        <w:rPr>
          <w:rFonts w:hint="default" w:ascii="Times New Roman" w:hAnsi="Times New Roman" w:eastAsia="仿宋_GB2312" w:cs="Times New Roman"/>
          <w:sz w:val="32"/>
          <w:szCs w:val="32"/>
          <w:lang w:val="en-US" w:eastAsia="zh-CN"/>
        </w:rPr>
        <w:t>96.3</w:t>
      </w:r>
      <w:r>
        <w:rPr>
          <w:rFonts w:hint="default" w:ascii="Times New Roman" w:hAnsi="Times New Roman" w:eastAsia="仿宋_GB2312" w:cs="Times New Roman"/>
          <w:sz w:val="32"/>
          <w:szCs w:val="32"/>
        </w:rPr>
        <w:t>分，自评结果为优。</w:t>
      </w:r>
    </w:p>
    <w:p>
      <w:pPr>
        <w:spacing w:line="58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2024年本单位部门整体支出绩效评价自评得分为93分，属于“优”级别，全年基本支出保证了部门的正常运行和日常工作正常开展，项目支出保障了重点工作开展，达到预期绩效目标。</w:t>
      </w:r>
    </w:p>
    <w:p>
      <w:pPr>
        <w:spacing w:line="580" w:lineRule="exact"/>
        <w:ind w:firstLine="640" w:firstLineChars="200"/>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（二）存在问题。</w:t>
      </w:r>
    </w:p>
    <w:p>
      <w:pPr>
        <w:spacing w:line="58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1.绩效目标设置有待继续优化。主要是部分业务股室在理解和设定预算绩效目标方面存在一定的不足，特别是在一级指标的框架下，难以制定出切实可行的二级和三级指标，这直接影响了项目绩效执行结果的准确衡量。</w:t>
      </w:r>
    </w:p>
    <w:p>
      <w:pPr>
        <w:spacing w:line="58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2.绩效评价的应用效果有待进一步提升。当前的绩效评价往往在项目完结后才进行，这导致评价结果难以对预算的实际使用产生实质性影响。</w:t>
      </w:r>
    </w:p>
    <w:p>
      <w:pPr>
        <w:spacing w:line="580" w:lineRule="exact"/>
        <w:ind w:firstLine="640" w:firstLineChars="200"/>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eastAsia="zh-CN"/>
        </w:rPr>
        <w:t>（三）改进建议。</w:t>
      </w:r>
    </w:p>
    <w:p>
      <w:pPr>
        <w:spacing w:line="58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细化预算编制，优化预算项目设置。不断完善部门预算编制管理，抓住预算一体化系统平台整合的契机，充分利用云平台数据，加强项目资金执行情况分析，并作为下年预算安排的依据，进一步提高预算编制的精准度和预算标准化水平。</w:t>
      </w:r>
    </w:p>
    <w:p>
      <w:pPr>
        <w:spacing w:line="58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强化预算约束，实行项目进度动态管理。通过定期对项目实施和预算执行情况进行梳理，及时掌握项目进度，督促项目实施单位早启动、早实施、早验收，对符合条件的项目按照项目进度支付相关款项，将预算资金管理贯穿于项目实施全过程中。</w:t>
      </w:r>
    </w:p>
    <w:p>
      <w:pPr>
        <w:spacing w:line="58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3.强化资金使用效益。加强工程项目管理和资金管理，专项资金要专款专用。提高财政资金使用效率，尽量减少预算执行调整、结转和结余注销的情形。 </w:t>
      </w:r>
    </w:p>
    <w:p>
      <w:pPr>
        <w:spacing w:line="580" w:lineRule="exact"/>
        <w:ind w:firstLine="640" w:firstLineChars="200"/>
        <w:rPr>
          <w:rFonts w:hint="default" w:ascii="仿宋_GB2312" w:hAnsi="仿宋_GB2312" w:eastAsia="仿宋_GB2312" w:cs="仿宋_GB2312"/>
          <w:sz w:val="32"/>
          <w:szCs w:val="32"/>
          <w:lang w:val="en-US" w:eastAsia="zh-CN"/>
        </w:rPr>
      </w:pPr>
    </w:p>
    <w:p>
      <w:pPr>
        <w:spacing w:line="580" w:lineRule="exact"/>
        <w:ind w:firstLine="640" w:firstLineChars="200"/>
        <w:rPr>
          <w:rFonts w:ascii="仿宋_GB2312" w:hAnsi="仿宋_GB2312" w:eastAsia="仿宋_GB2312" w:cs="仿宋_GB2312"/>
          <w:sz w:val="32"/>
          <w:szCs w:val="32"/>
        </w:rPr>
      </w:pPr>
    </w:p>
    <w:p>
      <w:pPr>
        <w:widowControl/>
        <w:jc w:val="left"/>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DE42A4"/>
    <w:multiLevelType w:val="singleLevel"/>
    <w:tmpl w:val="94DE42A4"/>
    <w:lvl w:ilvl="0" w:tentative="0">
      <w:start w:val="2"/>
      <w:numFmt w:val="chineseCounting"/>
      <w:suff w:val="nothing"/>
      <w:lvlText w:val="（%1）"/>
      <w:lvlJc w:val="left"/>
      <w:rPr>
        <w:rFonts w:hint="eastAsia"/>
      </w:rPr>
    </w:lvl>
  </w:abstractNum>
  <w:abstractNum w:abstractNumId="1">
    <w:nsid w:val="775B80D2"/>
    <w:multiLevelType w:val="singleLevel"/>
    <w:tmpl w:val="775B80D2"/>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91B22"/>
    <w:rsid w:val="00291808"/>
    <w:rsid w:val="00491B22"/>
    <w:rsid w:val="0052390C"/>
    <w:rsid w:val="1A94063B"/>
    <w:rsid w:val="1E513970"/>
    <w:rsid w:val="1FBD49D1"/>
    <w:rsid w:val="20D33D5C"/>
    <w:rsid w:val="29AF25FF"/>
    <w:rsid w:val="34EB1F43"/>
    <w:rsid w:val="36435EC2"/>
    <w:rsid w:val="3BC60731"/>
    <w:rsid w:val="3E2F4A20"/>
    <w:rsid w:val="417411D1"/>
    <w:rsid w:val="42704FD7"/>
    <w:rsid w:val="435A1AE5"/>
    <w:rsid w:val="43EB7E23"/>
    <w:rsid w:val="4DD97D2F"/>
    <w:rsid w:val="541D3002"/>
    <w:rsid w:val="57083E53"/>
    <w:rsid w:val="58A82BCB"/>
    <w:rsid w:val="60D032A5"/>
    <w:rsid w:val="65CD2D75"/>
    <w:rsid w:val="760F3FA8"/>
    <w:rsid w:val="78081358"/>
    <w:rsid w:val="7D8D1E4B"/>
    <w:rsid w:val="7FA752EC"/>
    <w:rsid w:val="F26FE8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4"/>
    <w:basedOn w:val="1"/>
    <w:next w:val="1"/>
    <w:qFormat/>
    <w:uiPriority w:val="0"/>
    <w:pPr>
      <w:keepNext w:val="0"/>
      <w:keepLines w:val="0"/>
      <w:widowControl/>
      <w:suppressLineNumbers w:val="0"/>
      <w:spacing w:before="0" w:beforeAutospacing="1" w:after="0" w:afterAutospacing="1"/>
      <w:ind w:left="0" w:right="0"/>
      <w:jc w:val="left"/>
      <w:outlineLvl w:val="3"/>
    </w:pPr>
    <w:rPr>
      <w:rFonts w:hint="eastAsia" w:ascii="宋体" w:hAnsi="宋体" w:eastAsia="宋体" w:cs="宋体"/>
      <w:b/>
      <w:bCs/>
      <w:kern w:val="0"/>
      <w:sz w:val="24"/>
      <w:szCs w:val="24"/>
      <w:lang w:val="en-US" w:eastAsia="zh-CN" w:bidi="ar"/>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3"/>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Body Text Indent"/>
    <w:basedOn w:val="1"/>
    <w:next w:val="6"/>
    <w:qFormat/>
    <w:uiPriority w:val="0"/>
    <w:pPr>
      <w:spacing w:after="120"/>
      <w:ind w:left="200" w:leftChars="200"/>
    </w:pPr>
    <w:rPr>
      <w:rFonts w:ascii="仿宋_GB2312"/>
      <w:szCs w:val="32"/>
    </w:rPr>
  </w:style>
  <w:style w:type="paragraph" w:styleId="6">
    <w:name w:val="Body Text First Indent 2"/>
    <w:basedOn w:val="5"/>
    <w:next w:val="1"/>
    <w:unhideWhenUsed/>
    <w:qFormat/>
    <w:uiPriority w:val="99"/>
    <w:pPr>
      <w:ind w:firstLine="420" w:firstLineChars="200"/>
    </w:pPr>
  </w:style>
  <w:style w:type="paragraph" w:styleId="7">
    <w:name w:val="header"/>
    <w:basedOn w:val="1"/>
    <w:link w:val="12"/>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table of figures"/>
    <w:basedOn w:val="1"/>
    <w:next w:val="1"/>
    <w:qFormat/>
    <w:uiPriority w:val="0"/>
    <w:pPr>
      <w:ind w:left="400" w:leftChars="200" w:hanging="200" w:hangingChars="200"/>
    </w:p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12">
    <w:name w:val="页眉 Char"/>
    <w:basedOn w:val="11"/>
    <w:link w:val="7"/>
    <w:semiHidden/>
    <w:qFormat/>
    <w:uiPriority w:val="99"/>
    <w:rPr>
      <w:sz w:val="18"/>
      <w:szCs w:val="18"/>
    </w:rPr>
  </w:style>
  <w:style w:type="character" w:customStyle="1" w:styleId="13">
    <w:name w:val="页脚 Char"/>
    <w:basedOn w:val="11"/>
    <w:link w:val="2"/>
    <w:semiHidden/>
    <w:qFormat/>
    <w:uiPriority w:val="99"/>
    <w:rPr>
      <w:sz w:val="18"/>
      <w:szCs w:val="18"/>
    </w:rPr>
  </w:style>
  <w:style w:type="paragraph" w:customStyle="1" w:styleId="14">
    <w:name w:val="普通(网站) Char"/>
    <w:basedOn w:val="1"/>
    <w:next w:val="8"/>
    <w:qFormat/>
    <w:uiPriority w:val="0"/>
    <w:pPr>
      <w:keepNext w:val="0"/>
      <w:keepLines w:val="0"/>
      <w:widowControl/>
      <w:suppressLineNumbers w:val="0"/>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15">
    <w:name w:val="正文 A"/>
    <w:basedOn w:val="1"/>
    <w:next w:val="8"/>
    <w:qFormat/>
    <w:uiPriority w:val="0"/>
    <w:pPr>
      <w:keepNext w:val="0"/>
      <w:keepLines w:val="0"/>
      <w:widowControl w:val="0"/>
      <w:suppressLineNumbers w:val="0"/>
      <w:spacing w:before="0" w:beforeAutospacing="0" w:after="0" w:afterAutospacing="0"/>
      <w:ind w:left="0" w:right="0"/>
      <w:jc w:val="both"/>
    </w:pPr>
    <w:rPr>
      <w:rFonts w:hint="default" w:ascii="Calibri" w:hAnsi="Calibri" w:eastAsia="宋体" w:cs="Times New Roman"/>
      <w:color w:val="000000"/>
      <w:kern w:val="2"/>
      <w:sz w:val="21"/>
      <w:szCs w:val="21"/>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9</Pages>
  <Words>4499</Words>
  <Characters>4909</Characters>
  <Lines>2</Lines>
  <Paragraphs>1</Paragraphs>
  <TotalTime>2</TotalTime>
  <ScaleCrop>false</ScaleCrop>
  <LinksUpToDate>false</LinksUpToDate>
  <CharactersWithSpaces>4917</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dcterms:modified xsi:type="dcterms:W3CDTF">2025-09-19T18:00:20Z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3115989309D741DA945EE44A488D69E1</vt:lpwstr>
  </property>
  <property fmtid="{D5CDD505-2E9C-101B-9397-08002B2CF9AE}" pid="4" name="KSOTemplateDocerSaveRecord">
    <vt:lpwstr>eyJoZGlkIjoiNGFiMjg1OWY4YTNjMDA4YjQ5N2JlYzAyYjFjZTBjNjIiLCJ1c2VySWQiOiI4MjY4MjM3ODIifQ==</vt:lpwstr>
  </property>
</Properties>
</file>