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eastAsia="zh-CN"/>
        </w:rPr>
      </w:pPr>
      <w:bookmarkStart w:id="0" w:name="_Toc15396616"/>
      <w:r>
        <w:rPr>
          <w:rFonts w:hint="eastAsia" w:ascii="仿宋_GB2312" w:hAnsi="黑体" w:eastAsia="仿宋_GB2312" w:cs="方正小标宋简体"/>
          <w:b/>
          <w:sz w:val="32"/>
          <w:szCs w:val="32"/>
          <w:lang w:eastAsia="zh-CN"/>
        </w:rPr>
        <w:t>黑水县党史研究和地方志编纂中心</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2021年部门整体支出绩效评价报告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olor w:val="000000"/>
          <w:sz w:val="32"/>
          <w:szCs w:val="32"/>
        </w:rPr>
        <w:t>黑水县</w:t>
      </w:r>
      <w:r>
        <w:rPr>
          <w:rFonts w:hint="eastAsia" w:ascii="仿宋_GB2312" w:hAnsi="仿宋" w:eastAsia="仿宋_GB2312"/>
          <w:color w:val="000000"/>
          <w:sz w:val="32"/>
          <w:szCs w:val="32"/>
          <w:lang w:eastAsia="zh-CN"/>
        </w:rPr>
        <w:t>史志编纂中心</w:t>
      </w:r>
      <w:r>
        <w:rPr>
          <w:rFonts w:hint="eastAsia" w:ascii="仿宋_GB2312" w:hAnsi="仿宋" w:eastAsia="仿宋_GB2312"/>
          <w:color w:val="000000"/>
          <w:sz w:val="32"/>
          <w:szCs w:val="32"/>
        </w:rPr>
        <w:t>属一级预算单位，无下属二级预算单位。黑水县档案馆无下属二级预算单位。</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党史编研工作职责：征编、整理全县的党史资料，编辑出版《党史正本》和《黑水县党史大事记》及重要党史书籍；研究党的历史经验，为领导机关决策提供科学依据；运用党史资料对干部、群众进行思想、道德、革命传统教育，为社会主义建设和党的自身建设服务；做好党史书刊的宣传发行工作；完成县委和上级业务部门交办的其他征编任务。  </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2、地方志工作职责：负责制定修志规划，组织、指导和编纂出版县志、部门志工作；完成地方年鉴、概况等编辑；负责地方文献的收集整理和旧志资料的校注出版工作；加强地方志条例的宣传、贯彻，做好服务咨询工作，充分发挥地方志存史资政的社会功能；完成县委、县政府和上级业务部门交办的其他工作。  </w:t>
      </w:r>
    </w:p>
    <w:p>
      <w:pPr>
        <w:spacing w:line="360" w:lineRule="auto"/>
        <w:ind w:firstLine="480" w:firstLineChars="150"/>
        <w:rPr>
          <w:rFonts w:hint="eastAsia" w:ascii="仿宋_GB2312" w:hAnsi="仿宋" w:eastAsia="仿宋_GB2312" w:cs="仿宋_GB2312"/>
          <w:sz w:val="32"/>
          <w:szCs w:val="32"/>
        </w:rPr>
      </w:pPr>
      <w:r>
        <w:rPr>
          <w:rFonts w:hint="eastAsia" w:ascii="仿宋_GB2312" w:hAnsi="仿宋_GB2312" w:eastAsia="仿宋_GB2312" w:cs="仿宋_GB2312"/>
          <w:sz w:val="32"/>
          <w:szCs w:val="32"/>
        </w:rPr>
        <w:t>　　3、办公室工作职责：做好文件的收发、起草、承办工作；负责本单位的档案收集、整理，立卷归档和管理工作；负责职工考勤、后勤管理等工作；组织职工学习，并做好会议记录；做好办公室的日常工作；完成领导交办的其他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left="420" w:leftChars="200"/>
        <w:rPr>
          <w:rFonts w:hint="eastAsia" w:ascii="仿宋_GB2312" w:hAnsi="仿宋" w:eastAsia="仿宋_GB2312" w:cs="仿宋_GB2312"/>
          <w:sz w:val="32"/>
          <w:szCs w:val="32"/>
        </w:rPr>
      </w:pPr>
      <w:r>
        <w:rPr>
          <w:rFonts w:hint="eastAsia" w:ascii="仿宋_GB2312" w:hAnsi="仿宋" w:eastAsia="仿宋_GB2312"/>
          <w:color w:val="000000"/>
          <w:sz w:val="32"/>
          <w:szCs w:val="32"/>
        </w:rPr>
        <w:t>我</w:t>
      </w:r>
      <w:r>
        <w:rPr>
          <w:rFonts w:hint="eastAsia" w:ascii="仿宋_GB2312" w:hAnsi="仿宋" w:eastAsia="仿宋_GB2312"/>
          <w:color w:val="000000"/>
          <w:sz w:val="32"/>
          <w:szCs w:val="32"/>
          <w:lang w:eastAsia="zh-CN"/>
        </w:rPr>
        <w:t>中心</w:t>
      </w:r>
      <w:r>
        <w:rPr>
          <w:rFonts w:hint="eastAsia" w:ascii="仿宋_GB2312" w:hAnsi="仿宋" w:eastAsia="仿宋_GB2312"/>
          <w:color w:val="000000"/>
          <w:sz w:val="32"/>
          <w:szCs w:val="32"/>
        </w:rPr>
        <w:t>总编制</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名，其中：参公编制</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名。在职人员总数</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人，退休人员6人。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1</w:t>
      </w:r>
      <w:r>
        <w:rPr>
          <w:rFonts w:hint="eastAsia" w:ascii="仿宋_GB2312" w:hAnsi="仿宋" w:eastAsia="仿宋_GB2312"/>
          <w:color w:val="000000"/>
          <w:sz w:val="32"/>
          <w:szCs w:val="32"/>
        </w:rPr>
        <w:t>年度收入总计</w:t>
      </w:r>
      <w:r>
        <w:rPr>
          <w:rFonts w:hint="eastAsia" w:ascii="仿宋_GB2312" w:hAnsi="仿宋" w:eastAsia="仿宋_GB2312"/>
          <w:color w:val="000000"/>
          <w:sz w:val="32"/>
          <w:szCs w:val="32"/>
          <w:lang w:val="en-US" w:eastAsia="zh-CN"/>
        </w:rPr>
        <w:t>150.08</w:t>
      </w:r>
      <w:r>
        <w:rPr>
          <w:rFonts w:hint="eastAsia" w:ascii="仿宋_GB2312" w:hAnsi="仿宋" w:eastAsia="仿宋_GB2312"/>
          <w:color w:val="000000"/>
          <w:sz w:val="32"/>
          <w:szCs w:val="32"/>
        </w:rPr>
        <w:t>万元，其中：一般公共性预算财政拨款收入为</w:t>
      </w:r>
      <w:r>
        <w:rPr>
          <w:rFonts w:hint="eastAsia" w:ascii="仿宋_GB2312" w:hAnsi="仿宋" w:eastAsia="仿宋_GB2312"/>
          <w:color w:val="000000"/>
          <w:sz w:val="32"/>
          <w:szCs w:val="32"/>
          <w:lang w:val="en-US" w:eastAsia="zh-CN"/>
        </w:rPr>
        <w:t>150.08</w:t>
      </w:r>
      <w:r>
        <w:rPr>
          <w:rFonts w:hint="eastAsia" w:ascii="仿宋_GB2312" w:hAnsi="仿宋" w:eastAsia="仿宋_GB2312"/>
          <w:color w:val="000000"/>
          <w:sz w:val="32"/>
          <w:szCs w:val="32"/>
        </w:rPr>
        <w:t>万元，占比1</w:t>
      </w:r>
      <w:r>
        <w:rPr>
          <w:rFonts w:ascii="仿宋_GB2312" w:hAnsi="仿宋" w:eastAsia="仿宋_GB2312"/>
          <w:color w:val="000000"/>
          <w:sz w:val="32"/>
          <w:szCs w:val="32"/>
        </w:rPr>
        <w:t>00%</w:t>
      </w:r>
      <w:r>
        <w:rPr>
          <w:rFonts w:hint="eastAsia" w:ascii="仿宋_GB2312" w:hAnsi="仿宋" w:eastAsia="仿宋_GB2312"/>
          <w:color w:val="000000"/>
          <w:sz w:val="32"/>
          <w:szCs w:val="32"/>
        </w:rPr>
        <w:t>；政府性基金预算财政拨款收入为</w:t>
      </w:r>
      <w:r>
        <w:rPr>
          <w:rFonts w:ascii="仿宋_GB2312" w:hAnsi="仿宋" w:eastAsia="仿宋_GB2312"/>
          <w:color w:val="000000"/>
          <w:sz w:val="32"/>
          <w:szCs w:val="32"/>
        </w:rPr>
        <w:t>0.00</w:t>
      </w:r>
      <w:r>
        <w:rPr>
          <w:rFonts w:hint="eastAsia" w:ascii="仿宋_GB2312" w:hAnsi="仿宋" w:eastAsia="仿宋_GB2312"/>
          <w:color w:val="000000"/>
          <w:sz w:val="32"/>
          <w:szCs w:val="32"/>
        </w:rPr>
        <w:t>万元，占比</w:t>
      </w:r>
      <w:r>
        <w:rPr>
          <w:rFonts w:hint="eastAsia" w:ascii="仿宋_GB2312" w:hAnsi="仿宋" w:eastAsia="仿宋_GB2312"/>
          <w:color w:val="000000"/>
          <w:sz w:val="32"/>
          <w:szCs w:val="32"/>
          <w:lang w:val="en-US" w:eastAsia="zh-CN"/>
        </w:rPr>
        <w:t>0</w:t>
      </w:r>
      <w:r>
        <w:rPr>
          <w:rFonts w:ascii="仿宋_GB2312" w:hAnsi="仿宋" w:eastAsia="仿宋_GB2312"/>
          <w:color w:val="000000"/>
          <w:sz w:val="32"/>
          <w:szCs w:val="32"/>
        </w:rPr>
        <w:t>%</w:t>
      </w:r>
      <w:r>
        <w:rPr>
          <w:rFonts w:hint="eastAsia" w:ascii="仿宋_GB2312" w:hAnsi="仿宋" w:eastAsia="仿宋_GB2312"/>
          <w:color w:val="000000"/>
          <w:sz w:val="32"/>
          <w:szCs w:val="32"/>
        </w:rPr>
        <w:t>；国有资本经营预算财政拨款收入为0</w:t>
      </w:r>
      <w:r>
        <w:rPr>
          <w:rFonts w:ascii="仿宋_GB2312" w:hAnsi="仿宋" w:eastAsia="仿宋_GB2312"/>
          <w:color w:val="000000"/>
          <w:sz w:val="32"/>
          <w:szCs w:val="32"/>
        </w:rPr>
        <w:t>.00</w:t>
      </w:r>
      <w:r>
        <w:rPr>
          <w:rFonts w:hint="eastAsia" w:ascii="仿宋_GB2312" w:hAnsi="仿宋" w:eastAsia="仿宋_GB2312"/>
          <w:color w:val="000000"/>
          <w:sz w:val="32"/>
          <w:szCs w:val="32"/>
        </w:rPr>
        <w:t>万元，占比</w:t>
      </w:r>
      <w:r>
        <w:rPr>
          <w:rFonts w:hint="eastAsia" w:ascii="仿宋_GB2312" w:hAnsi="仿宋" w:eastAsia="仿宋_GB2312"/>
          <w:color w:val="000000"/>
          <w:sz w:val="32"/>
          <w:szCs w:val="32"/>
          <w:lang w:val="en-US" w:eastAsia="zh-CN"/>
        </w:rPr>
        <w:t>0</w:t>
      </w:r>
      <w:r>
        <w:rPr>
          <w:rFonts w:ascii="仿宋_GB2312" w:hAnsi="仿宋" w:eastAsia="仿宋_GB2312"/>
          <w:color w:val="000000"/>
          <w:sz w:val="32"/>
          <w:szCs w:val="32"/>
        </w:rPr>
        <w:t>%</w:t>
      </w:r>
      <w:r>
        <w:rPr>
          <w:rFonts w:hint="eastAsia" w:ascii="仿宋_GB2312" w:hAnsi="仿宋" w:eastAsia="仿宋_GB2312"/>
          <w:color w:val="000000"/>
          <w:sz w:val="32"/>
          <w:szCs w:val="32"/>
        </w:rPr>
        <w:t>；上级补助收入预算财政拨款收入为0</w:t>
      </w:r>
      <w:r>
        <w:rPr>
          <w:rFonts w:ascii="仿宋_GB2312" w:hAnsi="仿宋" w:eastAsia="仿宋_GB2312"/>
          <w:color w:val="000000"/>
          <w:sz w:val="32"/>
          <w:szCs w:val="32"/>
        </w:rPr>
        <w:t>.00</w:t>
      </w:r>
      <w:r>
        <w:rPr>
          <w:rFonts w:hint="eastAsia" w:ascii="仿宋_GB2312" w:hAnsi="仿宋" w:eastAsia="仿宋_GB2312"/>
          <w:color w:val="000000"/>
          <w:sz w:val="32"/>
          <w:szCs w:val="32"/>
        </w:rPr>
        <w:t>万元，占比</w:t>
      </w:r>
      <w:r>
        <w:rPr>
          <w:rFonts w:ascii="仿宋_GB2312" w:hAnsi="仿宋" w:eastAsia="仿宋_GB2312"/>
          <w:color w:val="000000"/>
          <w:sz w:val="32"/>
          <w:szCs w:val="32"/>
        </w:rPr>
        <w:t>0%</w:t>
      </w:r>
      <w:r>
        <w:rPr>
          <w:rFonts w:hint="eastAsia" w:ascii="仿宋_GB2312" w:hAnsi="仿宋" w:eastAsia="仿宋_GB2312"/>
          <w:color w:val="000000"/>
          <w:sz w:val="32"/>
          <w:szCs w:val="32"/>
        </w:rPr>
        <w:t>；事业收入预算财政拨款收入为0</w:t>
      </w:r>
      <w:r>
        <w:rPr>
          <w:rFonts w:ascii="仿宋_GB2312" w:hAnsi="仿宋" w:eastAsia="仿宋_GB2312"/>
          <w:color w:val="000000"/>
          <w:sz w:val="32"/>
          <w:szCs w:val="32"/>
        </w:rPr>
        <w:t>.00</w:t>
      </w:r>
      <w:r>
        <w:rPr>
          <w:rFonts w:hint="eastAsia" w:ascii="仿宋_GB2312" w:hAnsi="仿宋" w:eastAsia="仿宋_GB2312"/>
          <w:color w:val="000000"/>
          <w:sz w:val="32"/>
          <w:szCs w:val="32"/>
        </w:rPr>
        <w:t>万元，占比</w:t>
      </w:r>
      <w:r>
        <w:rPr>
          <w:rFonts w:ascii="仿宋_GB2312" w:hAnsi="仿宋" w:eastAsia="仿宋_GB2312"/>
          <w:color w:val="000000"/>
          <w:sz w:val="32"/>
          <w:szCs w:val="32"/>
        </w:rPr>
        <w:t>0%</w:t>
      </w:r>
      <w:r>
        <w:rPr>
          <w:rFonts w:hint="eastAsia" w:ascii="仿宋_GB2312" w:hAnsi="仿宋" w:eastAsia="仿宋_GB2312"/>
          <w:color w:val="000000"/>
          <w:sz w:val="32"/>
          <w:szCs w:val="32"/>
        </w:rPr>
        <w:t>；经营收入预算财政拨款收入为0</w:t>
      </w:r>
      <w:r>
        <w:rPr>
          <w:rFonts w:ascii="仿宋_GB2312" w:hAnsi="仿宋" w:eastAsia="仿宋_GB2312"/>
          <w:color w:val="000000"/>
          <w:sz w:val="32"/>
          <w:szCs w:val="32"/>
        </w:rPr>
        <w:t>.00</w:t>
      </w:r>
      <w:r>
        <w:rPr>
          <w:rFonts w:hint="eastAsia" w:ascii="仿宋_GB2312" w:hAnsi="仿宋" w:eastAsia="仿宋_GB2312"/>
          <w:color w:val="000000"/>
          <w:sz w:val="32"/>
          <w:szCs w:val="32"/>
        </w:rPr>
        <w:t>万元，占比</w:t>
      </w:r>
      <w:r>
        <w:rPr>
          <w:rFonts w:ascii="仿宋_GB2312" w:hAnsi="仿宋" w:eastAsia="仿宋_GB2312"/>
          <w:color w:val="000000"/>
          <w:sz w:val="32"/>
          <w:szCs w:val="32"/>
        </w:rPr>
        <w:t>0%</w:t>
      </w:r>
      <w:r>
        <w:rPr>
          <w:rFonts w:hint="eastAsia" w:ascii="仿宋_GB2312" w:hAnsi="仿宋" w:eastAsia="仿宋_GB2312"/>
          <w:color w:val="000000"/>
          <w:sz w:val="32"/>
          <w:szCs w:val="32"/>
        </w:rPr>
        <w:t>；附属单位上缴收入预算财政拨款收入为0</w:t>
      </w:r>
      <w:r>
        <w:rPr>
          <w:rFonts w:ascii="仿宋_GB2312" w:hAnsi="仿宋" w:eastAsia="仿宋_GB2312"/>
          <w:color w:val="000000"/>
          <w:sz w:val="32"/>
          <w:szCs w:val="32"/>
        </w:rPr>
        <w:t>.00</w:t>
      </w:r>
      <w:r>
        <w:rPr>
          <w:rFonts w:hint="eastAsia" w:ascii="仿宋_GB2312" w:hAnsi="仿宋" w:eastAsia="仿宋_GB2312"/>
          <w:color w:val="000000"/>
          <w:sz w:val="32"/>
          <w:szCs w:val="32"/>
        </w:rPr>
        <w:t>万元，占比</w:t>
      </w:r>
      <w:r>
        <w:rPr>
          <w:rFonts w:ascii="仿宋_GB2312" w:hAnsi="仿宋" w:eastAsia="仿宋_GB2312"/>
          <w:color w:val="000000"/>
          <w:sz w:val="32"/>
          <w:szCs w:val="32"/>
        </w:rPr>
        <w:t>0%</w:t>
      </w:r>
      <w:r>
        <w:rPr>
          <w:rFonts w:hint="eastAsia" w:ascii="仿宋_GB2312" w:hAnsi="仿宋" w:eastAsia="仿宋_GB2312"/>
          <w:color w:val="000000"/>
          <w:sz w:val="32"/>
          <w:szCs w:val="32"/>
        </w:rPr>
        <w:t>；其他收入预算财政拨款收入为0</w:t>
      </w:r>
      <w:r>
        <w:rPr>
          <w:rFonts w:ascii="仿宋_GB2312" w:hAnsi="仿宋" w:eastAsia="仿宋_GB2312"/>
          <w:color w:val="000000"/>
          <w:sz w:val="32"/>
          <w:szCs w:val="32"/>
        </w:rPr>
        <w:t>.00</w:t>
      </w:r>
      <w:r>
        <w:rPr>
          <w:rFonts w:hint="eastAsia" w:ascii="仿宋_GB2312" w:hAnsi="仿宋" w:eastAsia="仿宋_GB2312"/>
          <w:color w:val="000000"/>
          <w:sz w:val="32"/>
          <w:szCs w:val="32"/>
        </w:rPr>
        <w:t>万元，占比</w:t>
      </w:r>
      <w:r>
        <w:rPr>
          <w:rFonts w:ascii="仿宋_GB2312" w:hAnsi="仿宋" w:eastAsia="仿宋_GB2312"/>
          <w:color w:val="000000"/>
          <w:sz w:val="32"/>
          <w:szCs w:val="32"/>
        </w:rPr>
        <w:t>0%</w:t>
      </w:r>
      <w:r>
        <w:rPr>
          <w:rFonts w:hint="eastAsia" w:ascii="仿宋_GB2312" w:hAnsi="仿宋" w:eastAsia="仿宋_GB2312" w:cs="仿宋_GB2312"/>
          <w:sz w:val="32"/>
          <w:szCs w:val="32"/>
        </w:rPr>
        <w:t xml:space="preserve">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本年度总支出为</w:t>
      </w:r>
      <w:r>
        <w:rPr>
          <w:rFonts w:hint="eastAsia" w:ascii="仿宋_GB2312" w:hAnsi="仿宋" w:eastAsia="仿宋_GB2312" w:cs="仿宋_GB2312"/>
          <w:sz w:val="32"/>
          <w:szCs w:val="32"/>
          <w:lang w:val="en-US" w:eastAsia="zh-CN"/>
        </w:rPr>
        <w:t>240.47</w:t>
      </w:r>
      <w:r>
        <w:rPr>
          <w:rFonts w:hint="eastAsia" w:ascii="仿宋_GB2312" w:hAnsi="仿宋" w:eastAsia="仿宋_GB2312" w:cs="仿宋_GB2312"/>
          <w:sz w:val="32"/>
          <w:szCs w:val="32"/>
        </w:rPr>
        <w:t>万元，其中：一般公共服务支出为</w:t>
      </w:r>
      <w:r>
        <w:rPr>
          <w:rFonts w:hint="eastAsia" w:ascii="仿宋_GB2312" w:hAnsi="仿宋" w:eastAsia="仿宋_GB2312" w:cs="仿宋_GB2312"/>
          <w:sz w:val="32"/>
          <w:szCs w:val="32"/>
          <w:lang w:val="en-US" w:eastAsia="zh-CN"/>
        </w:rPr>
        <w:t>205.85</w:t>
      </w:r>
      <w:r>
        <w:rPr>
          <w:rFonts w:hint="eastAsia" w:ascii="仿宋_GB2312" w:hAnsi="仿宋" w:eastAsia="仿宋_GB2312" w:cs="仿宋_GB2312"/>
          <w:sz w:val="32"/>
          <w:szCs w:val="32"/>
        </w:rPr>
        <w:t>万元，占比</w:t>
      </w:r>
      <w:r>
        <w:rPr>
          <w:rFonts w:hint="eastAsia" w:ascii="仿宋_GB2312" w:hAnsi="仿宋" w:eastAsia="仿宋_GB2312" w:cs="仿宋_GB2312"/>
          <w:sz w:val="32"/>
          <w:szCs w:val="32"/>
          <w:lang w:val="en-US" w:eastAsia="zh-CN"/>
        </w:rPr>
        <w:t>85.6</w:t>
      </w:r>
      <w:r>
        <w:rPr>
          <w:rFonts w:ascii="仿宋_GB2312" w:hAnsi="仿宋" w:eastAsia="仿宋_GB2312" w:cs="仿宋_GB2312"/>
          <w:sz w:val="32"/>
          <w:szCs w:val="32"/>
        </w:rPr>
        <w:t>%</w:t>
      </w:r>
      <w:r>
        <w:rPr>
          <w:rFonts w:hint="eastAsia" w:ascii="仿宋_GB2312" w:hAnsi="仿宋" w:eastAsia="仿宋_GB2312" w:cs="仿宋_GB2312"/>
          <w:sz w:val="32"/>
          <w:szCs w:val="32"/>
        </w:rPr>
        <w:t>；社会保障和就业支出为</w:t>
      </w:r>
      <w:r>
        <w:rPr>
          <w:rFonts w:hint="eastAsia" w:ascii="仿宋_GB2312" w:hAnsi="仿宋" w:eastAsia="仿宋_GB2312" w:cs="仿宋_GB2312"/>
          <w:sz w:val="32"/>
          <w:szCs w:val="32"/>
          <w:lang w:val="en-US" w:eastAsia="zh-CN"/>
        </w:rPr>
        <w:t>15.92</w:t>
      </w:r>
      <w:r>
        <w:rPr>
          <w:rFonts w:hint="eastAsia" w:ascii="仿宋_GB2312" w:hAnsi="仿宋" w:eastAsia="仿宋_GB2312" w:cs="仿宋_GB2312"/>
          <w:sz w:val="32"/>
          <w:szCs w:val="32"/>
        </w:rPr>
        <w:t>万元，占比</w:t>
      </w:r>
      <w:r>
        <w:rPr>
          <w:rFonts w:hint="eastAsia" w:ascii="仿宋_GB2312" w:hAnsi="仿宋" w:eastAsia="仿宋_GB2312" w:cs="仿宋_GB2312"/>
          <w:sz w:val="32"/>
          <w:szCs w:val="32"/>
          <w:lang w:val="en-US" w:eastAsia="zh-CN"/>
        </w:rPr>
        <w:t>6.6</w:t>
      </w:r>
      <w:r>
        <w:rPr>
          <w:rFonts w:ascii="仿宋_GB2312" w:hAnsi="仿宋" w:eastAsia="仿宋_GB2312" w:cs="仿宋_GB2312"/>
          <w:sz w:val="32"/>
          <w:szCs w:val="32"/>
        </w:rPr>
        <w:t>%</w:t>
      </w:r>
      <w:r>
        <w:rPr>
          <w:rFonts w:hint="eastAsia" w:ascii="仿宋_GB2312" w:hAnsi="仿宋" w:eastAsia="仿宋_GB2312" w:cs="仿宋_GB2312"/>
          <w:sz w:val="32"/>
          <w:szCs w:val="32"/>
        </w:rPr>
        <w:t>；卫生健康支出为</w:t>
      </w:r>
      <w:r>
        <w:rPr>
          <w:rFonts w:hint="eastAsia" w:ascii="仿宋_GB2312" w:hAnsi="仿宋" w:eastAsia="仿宋_GB2312" w:cs="仿宋_GB2312"/>
          <w:sz w:val="32"/>
          <w:szCs w:val="32"/>
          <w:lang w:val="en-US" w:eastAsia="zh-CN"/>
        </w:rPr>
        <w:t>7.91</w:t>
      </w:r>
      <w:r>
        <w:rPr>
          <w:rFonts w:hint="eastAsia" w:ascii="仿宋_GB2312" w:hAnsi="仿宋" w:eastAsia="仿宋_GB2312" w:cs="仿宋_GB2312"/>
          <w:sz w:val="32"/>
          <w:szCs w:val="32"/>
        </w:rPr>
        <w:t>万元，占比</w:t>
      </w:r>
      <w:r>
        <w:rPr>
          <w:rFonts w:hint="eastAsia" w:ascii="仿宋_GB2312" w:hAnsi="仿宋" w:eastAsia="仿宋_GB2312" w:cs="仿宋_GB2312"/>
          <w:sz w:val="32"/>
          <w:szCs w:val="32"/>
          <w:lang w:val="en-US" w:eastAsia="zh-CN"/>
        </w:rPr>
        <w:t>3.3</w:t>
      </w:r>
      <w:r>
        <w:rPr>
          <w:rFonts w:ascii="仿宋_GB2312" w:hAnsi="仿宋" w:eastAsia="仿宋_GB2312" w:cs="仿宋_GB2312"/>
          <w:sz w:val="32"/>
          <w:szCs w:val="32"/>
        </w:rPr>
        <w:t>%;</w:t>
      </w:r>
      <w:r>
        <w:rPr>
          <w:rFonts w:hint="eastAsia" w:ascii="仿宋_GB2312" w:hAnsi="仿宋" w:eastAsia="仿宋_GB2312" w:cs="仿宋_GB2312"/>
          <w:sz w:val="32"/>
          <w:szCs w:val="32"/>
        </w:rPr>
        <w:t>住房保障支出为1</w:t>
      </w:r>
      <w:r>
        <w:rPr>
          <w:rFonts w:hint="eastAsia" w:ascii="仿宋_GB2312" w:hAnsi="仿宋" w:eastAsia="仿宋_GB2312" w:cs="仿宋_GB2312"/>
          <w:sz w:val="32"/>
          <w:szCs w:val="32"/>
          <w:lang w:val="en-US" w:eastAsia="zh-CN"/>
        </w:rPr>
        <w:t>0.8</w:t>
      </w:r>
      <w:r>
        <w:rPr>
          <w:rFonts w:hint="eastAsia" w:ascii="仿宋_GB2312" w:hAnsi="仿宋" w:eastAsia="仿宋_GB2312" w:cs="仿宋_GB2312"/>
          <w:sz w:val="32"/>
          <w:szCs w:val="32"/>
        </w:rPr>
        <w:t>万元，占比</w:t>
      </w:r>
      <w:r>
        <w:rPr>
          <w:rFonts w:hint="eastAsia" w:ascii="仿宋_GB2312" w:hAnsi="仿宋" w:eastAsia="仿宋_GB2312" w:cs="仿宋_GB2312"/>
          <w:sz w:val="32"/>
          <w:szCs w:val="32"/>
          <w:lang w:val="en-US" w:eastAsia="zh-CN"/>
        </w:rPr>
        <w:t>4.5</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240" w:lineRule="auto"/>
        <w:rPr>
          <w:rFonts w:hint="eastAsia" w:ascii="仿宋_GB2312" w:hAnsi="仿宋" w:eastAsia="仿宋_GB2312" w:cs="仿宋_GB2312"/>
          <w:sz w:val="32"/>
          <w:szCs w:val="32"/>
        </w:rPr>
      </w:pPr>
    </w:p>
    <w:p>
      <w:pPr>
        <w:spacing w:line="240" w:lineRule="auto"/>
        <w:rPr>
          <w:rFonts w:hint="eastAsia" w:ascii="仿宋_GB2312" w:hAnsi="仿宋" w:eastAsia="仿宋_GB2312" w:cs="仿宋_GB2312"/>
          <w:sz w:val="32"/>
          <w:szCs w:val="32"/>
        </w:rPr>
      </w:pPr>
    </w:p>
    <w:p>
      <w:pPr>
        <w:spacing w:line="240" w:lineRule="auto"/>
        <w:rPr>
          <w:rFonts w:hint="eastAsia" w:ascii="仿宋_GB2312" w:hAnsi="黑体" w:eastAsia="仿宋_GB2312" w:cs="黑体"/>
          <w:sz w:val="32"/>
          <w:szCs w:val="32"/>
        </w:rPr>
      </w:pPr>
      <w:r>
        <w:drawing>
          <wp:anchor distT="0" distB="0" distL="114300" distR="114300" simplePos="0" relativeHeight="251659264" behindDoc="0" locked="0" layoutInCell="1" allowOverlap="1">
            <wp:simplePos x="0" y="0"/>
            <wp:positionH relativeFrom="column">
              <wp:posOffset>301625</wp:posOffset>
            </wp:positionH>
            <wp:positionV relativeFrom="paragraph">
              <wp:posOffset>42545</wp:posOffset>
            </wp:positionV>
            <wp:extent cx="5013960" cy="2509520"/>
            <wp:effectExtent l="4445" t="4445" r="10795" b="15875"/>
            <wp:wrapTopAndBottom/>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lang w:val="en-US" w:eastAsia="zh-CN"/>
        </w:rPr>
        <w:t xml:space="preserve">      </w:t>
      </w:r>
      <w:r>
        <w:rPr>
          <w:rFonts w:hint="eastAsia" w:ascii="仿宋_GB2312" w:hAnsi="黑体" w:eastAsia="仿宋_GB2312" w:cs="黑体"/>
          <w:sz w:val="32"/>
          <w:szCs w:val="32"/>
          <w:lang w:eastAsia="zh-CN"/>
        </w:rPr>
        <w:t>本年度一般公共预算财政拨款收入相比上年度增加</w:t>
      </w:r>
      <w:r>
        <w:rPr>
          <w:rFonts w:hint="eastAsia" w:ascii="仿宋_GB2312" w:hAnsi="黑体" w:eastAsia="仿宋_GB2312" w:cs="黑体"/>
          <w:sz w:val="32"/>
          <w:szCs w:val="32"/>
          <w:lang w:val="en-US" w:eastAsia="zh-CN"/>
        </w:rPr>
        <w:t>46.47万元，主要原因人员基数变化，</w:t>
      </w:r>
      <w:r>
        <w:rPr>
          <w:rFonts w:hint="eastAsia" w:ascii="仿宋_GB2312" w:hAnsi="仿宋" w:eastAsia="仿宋_GB2312"/>
          <w:color w:val="000000"/>
          <w:sz w:val="32"/>
          <w:szCs w:val="32"/>
          <w:lang w:eastAsia="zh-CN"/>
        </w:rPr>
        <w:t>口述历史</w:t>
      </w:r>
      <w:r>
        <w:rPr>
          <w:rFonts w:hint="eastAsia" w:ascii="仿宋_GB2312" w:hAnsi="仿宋" w:eastAsia="仿宋_GB2312"/>
          <w:color w:val="000000"/>
          <w:sz w:val="32"/>
          <w:szCs w:val="32"/>
        </w:rPr>
        <w:t>的拍摄经费</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党史刊物出版经费增加</w:t>
      </w:r>
      <w:r>
        <w:rPr>
          <w:rFonts w:hint="eastAsia" w:ascii="仿宋_GB2312" w:hAnsi="黑体" w:eastAsia="仿宋_GB2312" w:cs="黑体"/>
          <w:sz w:val="32"/>
          <w:szCs w:val="32"/>
          <w:lang w:val="en-US" w:eastAsia="zh-CN"/>
        </w:rPr>
        <w:t>；社会保障支出</w:t>
      </w:r>
      <w:r>
        <w:rPr>
          <w:rFonts w:hint="eastAsia" w:ascii="仿宋_GB2312" w:hAnsi="黑体" w:eastAsia="仿宋_GB2312" w:cs="黑体"/>
          <w:sz w:val="32"/>
          <w:szCs w:val="32"/>
          <w:lang w:eastAsia="zh-CN"/>
        </w:rPr>
        <w:t>相比上年度增加</w:t>
      </w:r>
      <w:r>
        <w:rPr>
          <w:rFonts w:hint="eastAsia" w:ascii="仿宋_GB2312" w:hAnsi="黑体" w:eastAsia="仿宋_GB2312" w:cs="黑体"/>
          <w:sz w:val="32"/>
          <w:szCs w:val="32"/>
          <w:lang w:val="en-US" w:eastAsia="zh-CN"/>
        </w:rPr>
        <w:t>2.66万元，主要原因人员基数变化；</w:t>
      </w:r>
      <w:r>
        <w:rPr>
          <w:rFonts w:hint="eastAsia" w:ascii="仿宋_GB2312" w:hAnsi="仿宋" w:eastAsia="仿宋_GB2312" w:cs="仿宋_GB2312"/>
          <w:sz w:val="32"/>
          <w:szCs w:val="32"/>
        </w:rPr>
        <w:t>卫生健康</w:t>
      </w:r>
      <w:r>
        <w:rPr>
          <w:rFonts w:hint="eastAsia" w:ascii="仿宋_GB2312" w:hAnsi="仿宋" w:eastAsia="仿宋_GB2312" w:cs="仿宋_GB2312"/>
          <w:sz w:val="32"/>
          <w:szCs w:val="32"/>
          <w:lang w:eastAsia="zh-CN"/>
        </w:rPr>
        <w:t>收入相比上年度增加</w:t>
      </w:r>
      <w:r>
        <w:rPr>
          <w:rFonts w:hint="eastAsia" w:ascii="仿宋_GB2312" w:hAnsi="仿宋" w:eastAsia="仿宋_GB2312" w:cs="仿宋_GB2312"/>
          <w:sz w:val="32"/>
          <w:szCs w:val="32"/>
          <w:lang w:val="en-US" w:eastAsia="zh-CN"/>
        </w:rPr>
        <w:t>2.75万元，</w:t>
      </w:r>
      <w:r>
        <w:rPr>
          <w:rFonts w:hint="eastAsia" w:ascii="仿宋_GB2312" w:hAnsi="黑体" w:eastAsia="仿宋_GB2312" w:cs="黑体"/>
          <w:sz w:val="32"/>
          <w:szCs w:val="32"/>
          <w:lang w:val="en-US" w:eastAsia="zh-CN"/>
        </w:rPr>
        <w:t>主要原因人员基数变动，增加两人；住房保障收入相比上年度增加1.85万元，主要原因人员基数变动，增加两人。</w:t>
      </w:r>
      <w:r>
        <w:rPr>
          <w:rFonts w:hint="eastAsia" w:ascii="仿宋_GB2312" w:hAnsi="仿宋" w:eastAsia="仿宋_GB2312"/>
          <w:color w:val="000000"/>
          <w:sz w:val="32"/>
          <w:szCs w:val="32"/>
        </w:rPr>
        <w:t>政府性基金预算财政拨款收入</w:t>
      </w:r>
      <w:r>
        <w:rPr>
          <w:rFonts w:hint="eastAsia" w:ascii="仿宋_GB2312" w:hAnsi="黑体" w:eastAsia="仿宋_GB2312" w:cs="黑体"/>
          <w:sz w:val="32"/>
          <w:szCs w:val="32"/>
          <w:lang w:eastAsia="zh-CN"/>
        </w:rPr>
        <w:t>相比上年度减少</w:t>
      </w:r>
      <w:r>
        <w:rPr>
          <w:rFonts w:hint="eastAsia" w:ascii="仿宋_GB2312" w:hAnsi="黑体" w:eastAsia="仿宋_GB2312" w:cs="黑体"/>
          <w:sz w:val="32"/>
          <w:szCs w:val="32"/>
          <w:lang w:val="en-US" w:eastAsia="zh-CN"/>
        </w:rPr>
        <w:t>0.00万元，主要原因无变动；</w:t>
      </w:r>
      <w:r>
        <w:rPr>
          <w:rFonts w:hint="eastAsia" w:ascii="仿宋_GB2312" w:hAnsi="仿宋" w:eastAsia="仿宋_GB2312"/>
          <w:color w:val="000000"/>
          <w:sz w:val="32"/>
          <w:szCs w:val="32"/>
        </w:rPr>
        <w:t>国有资本经营预算财政拨款收入</w:t>
      </w:r>
      <w:r>
        <w:rPr>
          <w:rFonts w:hint="eastAsia" w:ascii="仿宋_GB2312" w:hAnsi="黑体" w:eastAsia="仿宋_GB2312" w:cs="黑体"/>
          <w:sz w:val="32"/>
          <w:szCs w:val="32"/>
          <w:lang w:eastAsia="zh-CN"/>
        </w:rPr>
        <w:t>相比上年度减少</w:t>
      </w:r>
      <w:r>
        <w:rPr>
          <w:rFonts w:hint="eastAsia" w:ascii="仿宋_GB2312" w:hAnsi="黑体" w:eastAsia="仿宋_GB2312" w:cs="黑体"/>
          <w:sz w:val="32"/>
          <w:szCs w:val="32"/>
          <w:lang w:val="en-US" w:eastAsia="zh-CN"/>
        </w:rPr>
        <w:t>0.00万元，主要原因无变动；</w:t>
      </w:r>
      <w:r>
        <w:rPr>
          <w:rFonts w:hint="eastAsia" w:ascii="仿宋_GB2312" w:hAnsi="仿宋" w:eastAsia="仿宋_GB2312"/>
          <w:color w:val="000000"/>
          <w:sz w:val="32"/>
          <w:szCs w:val="32"/>
        </w:rPr>
        <w:t>上级补助收入预算财政拨款收入</w:t>
      </w:r>
      <w:r>
        <w:rPr>
          <w:rFonts w:hint="eastAsia" w:ascii="仿宋_GB2312" w:hAnsi="黑体" w:eastAsia="仿宋_GB2312" w:cs="黑体"/>
          <w:sz w:val="32"/>
          <w:szCs w:val="32"/>
          <w:lang w:eastAsia="zh-CN"/>
        </w:rPr>
        <w:t>相比上年度减少</w:t>
      </w:r>
      <w:r>
        <w:rPr>
          <w:rFonts w:hint="eastAsia" w:ascii="仿宋_GB2312" w:hAnsi="黑体" w:eastAsia="仿宋_GB2312" w:cs="黑体"/>
          <w:sz w:val="32"/>
          <w:szCs w:val="32"/>
          <w:lang w:val="en-US" w:eastAsia="zh-CN"/>
        </w:rPr>
        <w:t>0.00万元，主要原因无变动；</w:t>
      </w:r>
      <w:r>
        <w:rPr>
          <w:rFonts w:hint="eastAsia" w:ascii="仿宋_GB2312" w:hAnsi="仿宋" w:eastAsia="仿宋_GB2312"/>
          <w:color w:val="000000"/>
          <w:sz w:val="32"/>
          <w:szCs w:val="32"/>
        </w:rPr>
        <w:t>事业收入预算财政拨款收入</w:t>
      </w:r>
      <w:r>
        <w:rPr>
          <w:rFonts w:hint="eastAsia" w:ascii="仿宋_GB2312" w:hAnsi="黑体" w:eastAsia="仿宋_GB2312" w:cs="黑体"/>
          <w:sz w:val="32"/>
          <w:szCs w:val="32"/>
          <w:lang w:eastAsia="zh-CN"/>
        </w:rPr>
        <w:t>相比上年度减少</w:t>
      </w:r>
      <w:r>
        <w:rPr>
          <w:rFonts w:hint="eastAsia" w:ascii="仿宋_GB2312" w:hAnsi="黑体" w:eastAsia="仿宋_GB2312" w:cs="黑体"/>
          <w:sz w:val="32"/>
          <w:szCs w:val="32"/>
          <w:lang w:val="en-US" w:eastAsia="zh-CN"/>
        </w:rPr>
        <w:t>0.00万元，主要原因无变动；</w:t>
      </w:r>
      <w:r>
        <w:rPr>
          <w:rFonts w:hint="eastAsia" w:ascii="仿宋_GB2312" w:hAnsi="仿宋" w:eastAsia="仿宋_GB2312"/>
          <w:color w:val="000000"/>
          <w:sz w:val="32"/>
          <w:szCs w:val="32"/>
        </w:rPr>
        <w:t>经营收入预算财政拨款收入</w:t>
      </w:r>
      <w:r>
        <w:rPr>
          <w:rFonts w:hint="eastAsia" w:ascii="仿宋_GB2312" w:hAnsi="黑体" w:eastAsia="仿宋_GB2312" w:cs="黑体"/>
          <w:sz w:val="32"/>
          <w:szCs w:val="32"/>
          <w:lang w:eastAsia="zh-CN"/>
        </w:rPr>
        <w:t>相比上年度减少</w:t>
      </w:r>
      <w:r>
        <w:rPr>
          <w:rFonts w:hint="eastAsia" w:ascii="仿宋_GB2312" w:hAnsi="黑体" w:eastAsia="仿宋_GB2312" w:cs="黑体"/>
          <w:sz w:val="32"/>
          <w:szCs w:val="32"/>
          <w:lang w:val="en-US" w:eastAsia="zh-CN"/>
        </w:rPr>
        <w:t>0.00万元，主要原因无变动。</w:t>
      </w:r>
    </w:p>
    <w:p>
      <w:pPr>
        <w:pStyle w:val="6"/>
        <w:keepNext w:val="0"/>
        <w:keepLines w:val="0"/>
        <w:widowControl/>
        <w:suppressLineNumbers w:val="0"/>
        <w:shd w:val="clear" w:fill="FFFFFF"/>
        <w:spacing w:before="0" w:beforeAutospacing="0" w:after="0" w:afterAutospacing="0" w:line="560" w:lineRule="exact"/>
        <w:ind w:left="0" w:right="0" w:firstLine="643"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b/>
          <w:kern w:val="2"/>
          <w:sz w:val="32"/>
          <w:szCs w:val="32"/>
          <w:shd w:val="clear" w:fill="FFFFFF"/>
          <w:lang w:val="en-US" w:eastAsia="zh-CN" w:bidi="ar"/>
        </w:rPr>
        <w:t>3．支出按经济分类科目分析。</w:t>
      </w:r>
    </w:p>
    <w:p>
      <w:pPr>
        <w:pStyle w:val="6"/>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（1） “三公”经费支出情况：本单位本年度“三公”经费支出决算数为</w:t>
      </w:r>
      <w:r>
        <w:rPr>
          <w:rFonts w:hint="eastAsia" w:ascii="仿宋_GB2312" w:eastAsia="仿宋_GB2312" w:cs="仿宋_GB2312"/>
          <w:kern w:val="2"/>
          <w:sz w:val="32"/>
          <w:szCs w:val="32"/>
          <w:shd w:val="clear" w:fill="FFFFFF"/>
          <w:lang w:val="en-US" w:eastAsia="zh-CN" w:bidi="ar"/>
        </w:rPr>
        <w:t>4.74</w:t>
      </w:r>
      <w:r>
        <w:rPr>
          <w:rFonts w:hint="eastAsia" w:ascii="仿宋_GB2312" w:hAnsi="Times New Roman" w:eastAsia="仿宋_GB2312" w:cs="仿宋_GB2312"/>
          <w:kern w:val="2"/>
          <w:sz w:val="32"/>
          <w:szCs w:val="32"/>
          <w:shd w:val="clear" w:fill="FFFFFF"/>
          <w:lang w:val="en-US" w:eastAsia="zh-CN" w:bidi="ar"/>
        </w:rPr>
        <w:t>万元。其中:因公出国（境）费支出决算数为0.00万元，相比上年度减少0.00万元；公务用车购置及运行维护费支出决算数为</w:t>
      </w:r>
      <w:r>
        <w:rPr>
          <w:rFonts w:hint="eastAsia" w:ascii="仿宋_GB2312" w:eastAsia="仿宋_GB2312" w:cs="仿宋_GB2312"/>
          <w:kern w:val="2"/>
          <w:sz w:val="32"/>
          <w:szCs w:val="32"/>
          <w:shd w:val="clear" w:fill="FFFFFF"/>
          <w:lang w:val="en-US" w:eastAsia="zh-CN" w:bidi="ar"/>
        </w:rPr>
        <w:t>4.74</w:t>
      </w:r>
      <w:r>
        <w:rPr>
          <w:rFonts w:hint="eastAsia" w:ascii="仿宋_GB2312" w:hAnsi="Times New Roman" w:eastAsia="仿宋_GB2312" w:cs="仿宋_GB2312"/>
          <w:kern w:val="2"/>
          <w:sz w:val="32"/>
          <w:szCs w:val="32"/>
          <w:shd w:val="clear" w:fill="FFFFFF"/>
          <w:lang w:val="en-US" w:eastAsia="zh-CN" w:bidi="ar"/>
        </w:rPr>
        <w:t>万元，相比上年度</w:t>
      </w:r>
      <w:r>
        <w:rPr>
          <w:rFonts w:hint="eastAsia" w:ascii="仿宋_GB2312" w:eastAsia="仿宋_GB2312" w:cs="仿宋_GB2312"/>
          <w:kern w:val="2"/>
          <w:sz w:val="32"/>
          <w:szCs w:val="32"/>
          <w:shd w:val="clear" w:fill="FFFFFF"/>
          <w:lang w:val="en-US" w:eastAsia="zh-CN" w:bidi="ar"/>
        </w:rPr>
        <w:t>减少0.26</w:t>
      </w:r>
      <w:r>
        <w:rPr>
          <w:rFonts w:hint="eastAsia" w:ascii="仿宋_GB2312" w:hAnsi="Times New Roman" w:eastAsia="仿宋_GB2312" w:cs="仿宋_GB2312"/>
          <w:kern w:val="2"/>
          <w:sz w:val="32"/>
          <w:szCs w:val="32"/>
          <w:shd w:val="clear" w:fill="FFFFFF"/>
          <w:lang w:val="en-US" w:eastAsia="zh-CN" w:bidi="ar"/>
        </w:rPr>
        <w:t>万元，主要原</w:t>
      </w:r>
      <w:r>
        <w:rPr>
          <w:rFonts w:hint="eastAsia" w:ascii="仿宋_GB2312" w:eastAsia="仿宋_GB2312" w:cs="仿宋_GB2312"/>
          <w:kern w:val="2"/>
          <w:sz w:val="32"/>
          <w:szCs w:val="32"/>
          <w:shd w:val="clear" w:fill="FFFFFF"/>
          <w:lang w:val="en-US" w:eastAsia="zh-CN" w:bidi="ar"/>
        </w:rPr>
        <w:t>公务用车次数减少</w:t>
      </w:r>
      <w:r>
        <w:rPr>
          <w:rFonts w:hint="eastAsia" w:ascii="仿宋_GB2312" w:hAnsi="Times New Roman" w:eastAsia="仿宋_GB2312" w:cs="仿宋_GB2312"/>
          <w:kern w:val="2"/>
          <w:sz w:val="32"/>
          <w:szCs w:val="32"/>
          <w:shd w:val="clear" w:fill="FFFFFF"/>
          <w:lang w:val="en-US" w:eastAsia="zh-CN" w:bidi="ar"/>
        </w:rPr>
        <w:t>；公务接待费支出决算数为0.00万元，相比上年度减少0.00万元。 本年度决算数为</w:t>
      </w:r>
      <w:r>
        <w:rPr>
          <w:rFonts w:hint="eastAsia" w:ascii="仿宋_GB2312" w:eastAsia="仿宋_GB2312" w:cs="仿宋_GB2312"/>
          <w:kern w:val="2"/>
          <w:sz w:val="32"/>
          <w:szCs w:val="32"/>
          <w:shd w:val="clear" w:fill="FFFFFF"/>
          <w:lang w:val="en-US" w:eastAsia="zh-CN" w:bidi="ar"/>
        </w:rPr>
        <w:t>4.74</w:t>
      </w:r>
      <w:r>
        <w:rPr>
          <w:rFonts w:hint="eastAsia" w:ascii="仿宋_GB2312" w:hAnsi="Times New Roman" w:eastAsia="仿宋_GB2312" w:cs="仿宋_GB2312"/>
          <w:kern w:val="2"/>
          <w:sz w:val="32"/>
          <w:szCs w:val="32"/>
          <w:shd w:val="clear" w:fill="FFFFFF"/>
          <w:lang w:val="en-US" w:eastAsia="zh-CN" w:bidi="ar"/>
        </w:rPr>
        <w:t>万元</w:t>
      </w:r>
      <w:r>
        <w:rPr>
          <w:rFonts w:hint="eastAsia" w:ascii="仿宋_GB2312" w:eastAsia="仿宋_GB2312" w:cs="仿宋_GB2312"/>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本年度因 公出国（境）费人均支出为0.00万元，公务用车购置及运行维护费人均支出为</w:t>
      </w:r>
      <w:r>
        <w:rPr>
          <w:rFonts w:hint="eastAsia" w:ascii="仿宋_GB2312" w:eastAsia="仿宋_GB2312" w:cs="仿宋_GB2312"/>
          <w:kern w:val="2"/>
          <w:sz w:val="32"/>
          <w:szCs w:val="32"/>
          <w:shd w:val="clear" w:fill="FFFFFF"/>
          <w:lang w:val="en-US" w:eastAsia="zh-CN" w:bidi="ar"/>
        </w:rPr>
        <w:t>0.59</w:t>
      </w:r>
      <w:r>
        <w:rPr>
          <w:rFonts w:hint="eastAsia" w:ascii="仿宋_GB2312" w:hAnsi="Times New Roman" w:eastAsia="仿宋_GB2312" w:cs="仿宋_GB2312"/>
          <w:kern w:val="2"/>
          <w:sz w:val="32"/>
          <w:szCs w:val="32"/>
          <w:shd w:val="clear" w:fill="FFFFFF"/>
          <w:lang w:val="en-US" w:eastAsia="zh-CN" w:bidi="ar"/>
        </w:rPr>
        <w:t>万元，公务接待费人均支出为0.00万元。</w:t>
      </w:r>
    </w:p>
    <w:p>
      <w:pPr>
        <w:pStyle w:val="6"/>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黑体" w:eastAsia="仿宋_GB2312" w:cs="黑体"/>
          <w:sz w:val="32"/>
          <w:szCs w:val="32"/>
        </w:rPr>
      </w:pPr>
      <w:r>
        <w:rPr>
          <w:rFonts w:hint="eastAsia" w:ascii="仿宋_GB2312" w:eastAsia="仿宋_GB2312" w:cs="仿宋_GB2312"/>
          <w:kern w:val="2"/>
          <w:sz w:val="32"/>
          <w:szCs w:val="32"/>
          <w:shd w:val="clear" w:fill="FFFFFF"/>
          <w:lang w:val="en-US" w:eastAsia="zh-CN" w:bidi="ar"/>
        </w:rPr>
        <w:t>（2）</w:t>
      </w:r>
      <w:r>
        <w:rPr>
          <w:rFonts w:hint="eastAsia" w:ascii="仿宋_GB2312" w:hAnsi="Times New Roman" w:eastAsia="仿宋_GB2312" w:cs="仿宋_GB2312"/>
          <w:kern w:val="2"/>
          <w:sz w:val="32"/>
          <w:szCs w:val="32"/>
          <w:shd w:val="clear" w:fill="FFFFFF"/>
          <w:lang w:val="en-US" w:eastAsia="zh-CN" w:bidi="ar"/>
        </w:rPr>
        <w:t>培训费支出情况：本单位本年度培训费支出决算数为</w:t>
      </w:r>
      <w:r>
        <w:rPr>
          <w:rFonts w:hint="eastAsia" w:ascii="仿宋_GB2312" w:eastAsia="仿宋_GB2312" w:cs="仿宋_GB2312"/>
          <w:kern w:val="2"/>
          <w:sz w:val="32"/>
          <w:szCs w:val="32"/>
          <w:shd w:val="clear" w:fill="FFFFFF"/>
          <w:lang w:val="en-US" w:eastAsia="zh-CN" w:bidi="ar"/>
        </w:rPr>
        <w:t>0.2</w:t>
      </w:r>
      <w:r>
        <w:rPr>
          <w:rFonts w:hint="eastAsia" w:ascii="仿宋_GB2312" w:hAnsi="Times New Roman" w:eastAsia="仿宋_GB2312" w:cs="仿宋_GB2312"/>
          <w:kern w:val="2"/>
          <w:sz w:val="32"/>
          <w:szCs w:val="32"/>
          <w:shd w:val="clear" w:fill="FFFFFF"/>
          <w:lang w:val="en-US" w:eastAsia="zh-CN" w:bidi="ar"/>
        </w:rPr>
        <w:t>万元，相比上年度</w:t>
      </w:r>
      <w:r>
        <w:rPr>
          <w:rFonts w:hint="eastAsia" w:ascii="仿宋_GB2312" w:eastAsia="仿宋_GB2312" w:cs="仿宋_GB2312"/>
          <w:kern w:val="2"/>
          <w:sz w:val="32"/>
          <w:szCs w:val="32"/>
          <w:shd w:val="clear" w:fill="FFFFFF"/>
          <w:lang w:val="en-US" w:eastAsia="zh-CN" w:bidi="ar"/>
        </w:rPr>
        <w:t>减少0.66</w:t>
      </w:r>
      <w:r>
        <w:rPr>
          <w:rFonts w:hint="eastAsia" w:ascii="仿宋_GB2312" w:hAnsi="Times New Roman" w:eastAsia="仿宋_GB2312" w:cs="仿宋_GB2312"/>
          <w:kern w:val="2"/>
          <w:sz w:val="32"/>
          <w:szCs w:val="32"/>
          <w:shd w:val="clear" w:fill="FFFFFF"/>
          <w:lang w:val="en-US" w:eastAsia="zh-CN" w:bidi="ar"/>
        </w:rPr>
        <w:t>万元，主要原因</w:t>
      </w:r>
      <w:r>
        <w:rPr>
          <w:rFonts w:hint="eastAsia" w:ascii="仿宋_GB2312" w:eastAsia="仿宋_GB2312" w:cs="仿宋_GB2312"/>
          <w:kern w:val="2"/>
          <w:sz w:val="32"/>
          <w:szCs w:val="32"/>
          <w:shd w:val="clear" w:fill="FFFFFF"/>
          <w:lang w:val="en-US" w:eastAsia="zh-CN" w:bidi="ar"/>
        </w:rPr>
        <w:t>：国内疫情原因，培训减少</w:t>
      </w:r>
      <w:r>
        <w:rPr>
          <w:rFonts w:hint="eastAsia" w:ascii="仿宋_GB2312" w:hAnsi="Times New Roman" w:eastAsia="仿宋_GB2312" w:cs="仿宋_GB2312"/>
          <w:kern w:val="2"/>
          <w:sz w:val="32"/>
          <w:szCs w:val="32"/>
          <w:shd w:val="clear" w:fill="FFFFFF"/>
          <w:lang w:val="en-US" w:eastAsia="zh-CN" w:bidi="ar"/>
        </w:rPr>
        <w:t>；培训费人均支出为</w:t>
      </w:r>
      <w:r>
        <w:rPr>
          <w:rFonts w:hint="eastAsia" w:ascii="仿宋_GB2312" w:eastAsia="仿宋_GB2312" w:cs="仿宋_GB2312"/>
          <w:kern w:val="2"/>
          <w:sz w:val="32"/>
          <w:szCs w:val="32"/>
          <w:shd w:val="clear" w:fill="FFFFFF"/>
          <w:lang w:val="en-US" w:eastAsia="zh-CN" w:bidi="ar"/>
        </w:rPr>
        <w:t>0.025</w:t>
      </w:r>
      <w:r>
        <w:rPr>
          <w:rFonts w:hint="eastAsia" w:ascii="仿宋_GB2312" w:hAnsi="Times New Roman" w:eastAsia="仿宋_GB2312" w:cs="仿宋_GB2312"/>
          <w:kern w:val="2"/>
          <w:sz w:val="32"/>
          <w:szCs w:val="32"/>
          <w:shd w:val="clear" w:fill="FFFFFF"/>
          <w:lang w:val="en-US" w:eastAsia="zh-CN" w:bidi="ar"/>
        </w:rPr>
        <w:t>万元。</w:t>
      </w:r>
    </w:p>
    <w:p>
      <w:pPr>
        <w:spacing w:line="240" w:lineRule="auto"/>
        <w:ind w:firstLine="420" w:firstLineChars="200"/>
        <w:rPr>
          <w:rFonts w:ascii="仿宋_GB2312" w:hAnsi="黑体" w:eastAsia="仿宋_GB2312" w:cs="黑体"/>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34925</wp:posOffset>
            </wp:positionV>
            <wp:extent cx="4687570" cy="2895600"/>
            <wp:effectExtent l="4445" t="4445" r="17145" b="1079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lang w:val="en-US" w:eastAsia="zh-CN"/>
        </w:rPr>
        <w:t xml:space="preserve">   </w:t>
      </w:r>
      <w:bookmarkStart w:id="6" w:name="_GoBack"/>
      <w:bookmarkEnd w:id="6"/>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bookmarkStart w:id="1" w:name="OLE_LINK10"/>
      <w:bookmarkStart w:id="2" w:name="OLE_LINK11"/>
      <w:r>
        <w:rPr>
          <w:rFonts w:hint="eastAsia" w:ascii="仿宋_GB2312" w:hAnsi="仿宋" w:eastAsia="仿宋_GB2312" w:cs="仿宋_GB2312"/>
          <w:kern w:val="2"/>
          <w:sz w:val="32"/>
          <w:szCs w:val="32"/>
          <w:lang w:val="en-US" w:eastAsia="zh-CN" w:bidi="ar"/>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2021年年初预算安排收入126.73</w:t>
      </w:r>
      <w:r>
        <w:rPr>
          <w:rFonts w:hint="eastAsia" w:ascii="仿宋_GB2312" w:hAnsi="仿宋_GB2312" w:eastAsia="仿宋_GB2312" w:cs="仿宋_GB2312"/>
          <w:sz w:val="32"/>
          <w:szCs w:val="32"/>
        </w:rPr>
        <w:t>万元</w:t>
      </w:r>
      <w:r>
        <w:rPr>
          <w:rFonts w:hint="eastAsia" w:ascii="仿宋_GB2312" w:hAnsi="仿宋" w:eastAsia="仿宋_GB2312" w:cs="仿宋_GB2312"/>
          <w:kern w:val="2"/>
          <w:sz w:val="32"/>
          <w:szCs w:val="32"/>
          <w:lang w:val="en-US" w:eastAsia="zh-CN" w:bidi="ar"/>
        </w:rPr>
        <w:t>, 调整预算收入数150.08万元，本年预算支出240.47万元。</w:t>
      </w:r>
      <w:bookmarkEnd w:id="1"/>
      <w:bookmarkEnd w:id="2"/>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本单位严格按照专项预算项目支付，制定相应的执行情况，规划合理。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keepNext w:val="0"/>
        <w:keepLines w:val="0"/>
        <w:widowControl w:val="0"/>
        <w:suppressLineNumbers w:val="0"/>
        <w:spacing w:before="0" w:beforeAutospacing="0" w:after="0" w:afterAutospacing="0" w:line="560" w:lineRule="exact"/>
        <w:ind w:left="0" w:right="0" w:firstLine="640" w:firstLineChars="200"/>
        <w:jc w:val="both"/>
        <w:rPr>
          <w:rFonts w:ascii="仿宋_GB2312" w:hAnsi="仿宋" w:eastAsia="仿宋_GB2312" w:cs="仿宋_GB2312"/>
          <w:sz w:val="32"/>
          <w:szCs w:val="32"/>
        </w:rPr>
      </w:pPr>
      <w:bookmarkStart w:id="3" w:name="OLE_LINK13"/>
      <w:bookmarkStart w:id="4" w:name="OLE_LINK15"/>
      <w:bookmarkStart w:id="5" w:name="OLE_LINK14"/>
      <w:r>
        <w:rPr>
          <w:rFonts w:hint="eastAsia" w:ascii="仿宋_GB2312" w:hAnsi="仿宋" w:eastAsia="仿宋_GB2312" w:cs="仿宋_GB2312"/>
          <w:kern w:val="2"/>
          <w:sz w:val="32"/>
          <w:szCs w:val="32"/>
          <w:lang w:val="en-US" w:eastAsia="zh-CN" w:bidi="ar"/>
        </w:rPr>
        <w:t>严格执行“厉行节约、反对浪费”的规定，严格控制“三公”经费支出，加强公务用车管理，努力降低燃修费用，“三公”经费较上年有所减少。本年三公经费支出4.74万元，其中：公务用车运行维护费4.74万元，公务接待0万元。上年三公经费支出4.74万元，其中：公务用车运行维护费34.74万元，公务接待0万元。</w:t>
      </w:r>
      <w:bookmarkEnd w:id="3"/>
      <w:bookmarkEnd w:id="4"/>
      <w:bookmarkEnd w:id="5"/>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从自评情况来看，我</w:t>
      </w:r>
      <w:r>
        <w:rPr>
          <w:rFonts w:hint="eastAsia" w:ascii="仿宋_GB2312" w:hAnsi="仿宋" w:eastAsia="仿宋_GB2312" w:cs="仿宋_GB2312"/>
          <w:sz w:val="32"/>
          <w:szCs w:val="32"/>
          <w:lang w:eastAsia="zh-CN"/>
        </w:rPr>
        <w:t>中心</w:t>
      </w:r>
      <w:r>
        <w:rPr>
          <w:rFonts w:hint="eastAsia" w:ascii="仿宋_GB2312" w:hAnsi="仿宋" w:eastAsia="仿宋_GB2312" w:cs="仿宋_GB2312"/>
          <w:sz w:val="32"/>
          <w:szCs w:val="32"/>
        </w:rPr>
        <w:t>部门支出绩效水平较高，整体上完成了年初设定的绩效目标，保障了我</w:t>
      </w:r>
      <w:r>
        <w:rPr>
          <w:rFonts w:hint="eastAsia" w:ascii="仿宋_GB2312" w:hAnsi="仿宋" w:eastAsia="仿宋_GB2312" w:cs="仿宋_GB2312"/>
          <w:sz w:val="32"/>
          <w:szCs w:val="32"/>
          <w:lang w:eastAsia="zh-CN"/>
        </w:rPr>
        <w:t>中心</w:t>
      </w:r>
      <w:r>
        <w:rPr>
          <w:rFonts w:hint="eastAsia" w:ascii="仿宋_GB2312" w:hAnsi="仿宋" w:eastAsia="仿宋_GB2312" w:cs="仿宋_GB2312"/>
          <w:sz w:val="32"/>
          <w:szCs w:val="32"/>
        </w:rPr>
        <w:t>工作的正常运转，</w:t>
      </w:r>
      <w:r>
        <w:rPr>
          <w:rFonts w:hint="eastAsia" w:ascii="仿宋_GB2312" w:hAnsi="仿宋" w:eastAsia="仿宋_GB2312" w:cs="仿宋_GB2312"/>
          <w:kern w:val="2"/>
          <w:sz w:val="32"/>
          <w:szCs w:val="32"/>
          <w:lang w:val="zh-CN" w:eastAsia="zh-CN" w:bidi="ar"/>
        </w:rPr>
        <w:t>圆满完成了州县下达的各项目标任务，</w:t>
      </w:r>
      <w:r>
        <w:rPr>
          <w:rFonts w:hint="eastAsia" w:ascii="仿宋_GB2312" w:hAnsi="仿宋" w:eastAsia="仿宋_GB2312" w:cs="仿宋_GB2312"/>
          <w:sz w:val="32"/>
          <w:szCs w:val="32"/>
        </w:rPr>
        <w:t>促进了我</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的事业发展，充分发挥了财政资金的经济效益和社会效益。</w:t>
      </w:r>
    </w:p>
    <w:p>
      <w:pPr>
        <w:numPr>
          <w:ilvl w:val="0"/>
          <w:numId w:val="1"/>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存在问题。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从绩效评价看，部门支出预算还存在部分项目无法用量化指标来进行考评的问题。</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加强资金的管理，在公共运行维护资金的使用范围上严格把关，按照规定进行公示。</w:t>
      </w:r>
    </w:p>
    <w:p>
      <w:pPr>
        <w:numPr>
          <w:ilvl w:val="0"/>
          <w:numId w:val="0"/>
        </w:numPr>
        <w:spacing w:line="580" w:lineRule="exact"/>
        <w:ind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加强对绩效评价工作的培训和指导，进一步优化项目绩效考核指标体系，做到合理性与可操作性的有机统一。</w:t>
      </w:r>
    </w:p>
    <w:p>
      <w:pPr>
        <w:numPr>
          <w:ilvl w:val="0"/>
          <w:numId w:val="0"/>
        </w:num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9AD55"/>
    <w:multiLevelType w:val="singleLevel"/>
    <w:tmpl w:val="C4E9AD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GE1MmY0ZjY5NDU5NTMzZDJjZDYxZTE5YTM4NzUifQ=="/>
  </w:docVars>
  <w:rsids>
    <w:rsidRoot w:val="00491B22"/>
    <w:rsid w:val="00291808"/>
    <w:rsid w:val="0044575D"/>
    <w:rsid w:val="00463079"/>
    <w:rsid w:val="00491B22"/>
    <w:rsid w:val="0052390C"/>
    <w:rsid w:val="00563ECF"/>
    <w:rsid w:val="00A46A46"/>
    <w:rsid w:val="00B56857"/>
    <w:rsid w:val="0A0306FA"/>
    <w:rsid w:val="0ECD3B6F"/>
    <w:rsid w:val="124820F3"/>
    <w:rsid w:val="34EB1F43"/>
    <w:rsid w:val="36435EC2"/>
    <w:rsid w:val="4DFA63B7"/>
    <w:rsid w:val="60D032A5"/>
    <w:rsid w:val="6A77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beforeLines="30"/>
    </w:pPr>
    <w:rPr>
      <w:rFonts w:ascii="仿宋_GB2312"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rPr>
      <w:sz w:val="24"/>
    </w:r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character" w:customStyle="1" w:styleId="11">
    <w:name w:val="正文文本 字符"/>
    <w:basedOn w:val="8"/>
    <w:link w:val="2"/>
    <w:qFormat/>
    <w:uiPriority w:val="99"/>
    <w:rPr>
      <w:rFonts w:ascii="仿宋_GB2312" w:hAnsi="Times New Roman" w:eastAsia="仿宋_GB2312" w:cs="Times New Roman"/>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ocuments\WeChat%20Files\wxid_pujxesze6iy021\FileStorage\File\2021-08\&#20915;&#31639;&#20844;&#24320;&#27604;&#36739;&#2227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2020&#24180;&#21490;&#24535;&#21150;&#20915;&#31639;&#65288;&#23450;&#65289;\2020&#24180;&#20915;&#31639;&#20844;&#24320;&#65288;&#26679;&#26412;&#65289;\&#20915;&#31639;&#20844;&#24320;&#27604;&#3673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effectLst/>
              </a:rPr>
              <a:t>2021</a:t>
            </a:r>
            <a:r>
              <a:rPr lang="zh-CN" altLang="en-US" sz="1400" b="0" i="0" u="none" strike="noStrike" baseline="0">
                <a:effectLst/>
              </a:rPr>
              <a:t>年</a:t>
            </a:r>
            <a:r>
              <a:rPr lang="zh-CN" altLang="zh-CN" sz="1400" b="0" i="0" u="none" strike="noStrike" baseline="0">
                <a:effectLst/>
              </a:rPr>
              <a:t>一般公共预算财政拨款支出决算结构</a:t>
            </a:r>
            <a:endParaRPr lang="zh-CN" altLang="en-US"/>
          </a:p>
        </c:rich>
      </c:tx>
      <c:layout>
        <c:manualLayout>
          <c:xMode val="edge"/>
          <c:yMode val="edge"/>
          <c:x val="0.163136661623802"/>
          <c:y val="0.00693962526023595"/>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'[决算公开比较图(1)(1).xlsx]支出决算结构表'!$A$2:$A$5</c:f>
              <c:strCache>
                <c:ptCount val="4"/>
                <c:pt idx="0">
                  <c:v>社会保障和就业（类）支出</c:v>
                </c:pt>
                <c:pt idx="1">
                  <c:v>医疗卫生支出</c:v>
                </c:pt>
                <c:pt idx="2">
                  <c:v>一般公共服务支出</c:v>
                </c:pt>
                <c:pt idx="3">
                  <c:v>住房保障支出</c:v>
                </c:pt>
              </c:strCache>
            </c:strRef>
          </c:cat>
          <c:val>
            <c:numRef>
              <c:f>'[决算公开比较图(1)(1).xlsx]支出决算结构表'!$B$2:$B$5</c:f>
              <c:numCache>
                <c:formatCode>General</c:formatCode>
                <c:ptCount val="4"/>
                <c:pt idx="0">
                  <c:v>15.92</c:v>
                </c:pt>
                <c:pt idx="1">
                  <c:v>5.3</c:v>
                </c:pt>
                <c:pt idx="2">
                  <c:v>205.84</c:v>
                </c:pt>
                <c:pt idx="3">
                  <c:v>10.8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739409984871407"/>
          <c:y val="0.88965995836224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培训费</a:t>
            </a:r>
            <a:endParaRPr lang="zh-CN" altLang="en-US"/>
          </a:p>
        </c:rich>
      </c:tx>
      <c:layout/>
      <c:overlay val="0"/>
    </c:title>
    <c:autoTitleDeleted val="0"/>
    <c:plotArea>
      <c:layout>
        <c:manualLayout>
          <c:layoutTarget val="inner"/>
          <c:xMode val="edge"/>
          <c:yMode val="edge"/>
          <c:x val="0.0678910761154856"/>
          <c:y val="0.326400554097404"/>
          <c:w val="0.890442257217848"/>
          <c:h val="0.577087343248761"/>
        </c:manualLayout>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[决算公开比较图.xlsx]三公以及各细项!$J$2:$J$3</c:f>
              <c:strCache>
                <c:ptCount val="2"/>
                <c:pt idx="0">
                  <c:v>2020年</c:v>
                </c:pt>
                <c:pt idx="1">
                  <c:v>2021年</c:v>
                </c:pt>
              </c:strCache>
            </c:strRef>
          </c:cat>
          <c:val>
            <c:numRef>
              <c:f>[决算公开比较图.xlsx]三公以及各细项!$K$2:$K$3</c:f>
              <c:numCache>
                <c:formatCode>General</c:formatCode>
                <c:ptCount val="2"/>
                <c:pt idx="0">
                  <c:v>0.86</c:v>
                </c:pt>
                <c:pt idx="1">
                  <c:v>0.2</c:v>
                </c:pt>
              </c:numCache>
            </c:numRef>
          </c:val>
        </c:ser>
        <c:dLbls>
          <c:showLegendKey val="0"/>
          <c:showVal val="1"/>
          <c:showCatName val="0"/>
          <c:showSerName val="0"/>
          <c:showPercent val="0"/>
          <c:showBubbleSize val="0"/>
        </c:dLbls>
        <c:gapWidth val="150"/>
        <c:axId val="92797184"/>
        <c:axId val="109879296"/>
      </c:barChart>
      <c:catAx>
        <c:axId val="92797184"/>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manualLayout>
              <c:xMode val="edge"/>
              <c:yMode val="edge"/>
              <c:x val="0.835056649168854"/>
              <c:y val="0.175925925925926"/>
            </c:manualLayout>
          </c:layout>
          <c:overlay val="0"/>
        </c:title>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79296"/>
        <c:crosses val="autoZero"/>
        <c:auto val="1"/>
        <c:lblAlgn val="ctr"/>
        <c:lblOffset val="100"/>
        <c:noMultiLvlLbl val="0"/>
      </c:catAx>
      <c:valAx>
        <c:axId val="1098792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7971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0.81563</cdr:x>
      <cdr:y>0.15278</cdr:y>
    </cdr:from>
    <cdr:to>
      <cdr:x>0.92396</cdr:x>
      <cdr:y>0.23958</cdr:y>
    </cdr:to>
    <cdr:sp>
      <cdr:nvSpPr>
        <cdr:cNvPr id="2" name="矩形 1"/>
        <cdr:cNvSpPr/>
      </cdr:nvSpPr>
      <cdr:spPr xmlns:a="http://schemas.openxmlformats.org/drawingml/2006/main">
        <a:xfrm xmlns:a="http://schemas.openxmlformats.org/drawingml/2006/main">
          <a:off x="3729038" y="419100"/>
          <a:ext cx="495300"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万元</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1789</Words>
  <Characters>1976</Characters>
  <Lines>6</Lines>
  <Paragraphs>1</Paragraphs>
  <TotalTime>1</TotalTime>
  <ScaleCrop>false</ScaleCrop>
  <LinksUpToDate>false</LinksUpToDate>
  <CharactersWithSpaces>1982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爱的唯一1412244230</cp:lastModifiedBy>
  <dcterms:modified xsi:type="dcterms:W3CDTF">2022-08-22T03:22:46Z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BC21AE1641BD46378FB6D84F96079203</vt:lpwstr>
  </property>
</Properties>
</file>