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contextualSpacing/>
        <w:textAlignment w:val="auto"/>
        <w:outlineLvl w:val="9"/>
        <w:rPr>
          <w:rFonts w:hint="default" w:ascii="Times New Roman" w:hAnsi="Times New Roman" w:eastAsia="黑体" w:cs="Times New Roman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黑体" w:cs="Times New Roman"/>
          <w:szCs w:val="32"/>
          <w:highlight w:val="none"/>
          <w:lang w:val="zh-CN"/>
        </w:rPr>
        <w:t>附件</w:t>
      </w:r>
      <w:r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contextualSpacing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中共黑水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  <w:t>县委组织部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cs="Times New Roman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财政支出绩效评价报告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24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县委组织部设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个职能股室、2个事业中心，分别是办公室、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农村党建工作股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机关党建工作股、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人才工作股</w:t>
      </w:r>
      <w:r>
        <w:rPr>
          <w:rFonts w:hint="eastAsia" w:ascii="仿宋_GB2312" w:hAnsi="仿宋_GB2312" w:eastAsia="仿宋_GB2312" w:cs="仿宋_GB2312"/>
          <w:sz w:val="32"/>
          <w:szCs w:val="32"/>
        </w:rPr>
        <w:t>、老干部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远程教育中心（参公管理）、信息中心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(二）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1.研究、指导全县各基层党组织的建设；研究、探索各类新经济组织中党组织的设置和活动方式；协调、规划和指导全县党员的教育管理和主管党员的发展工作；组织新时期党的建设理论研究。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2.负责乡镇、县直部门和县委、县政府直属事业单位的领导班子和领导干部的考察考核，并提出领导班子调整、配备和领导干部任免的意见和建议；负责州委管理干部职务任免、工资、待遇及离退休干部的上报资料和手续；负责有关上报州委组织部的备案材料；配合州级有关部门考核协管单位的领导班子和领导干部，并对其领导班子和领导干部的调整、任免提出意见和建议；承办县委管理干部职务任免、工资、待遇和离退休干部的审批手续；承办县委管理干部和县级党群、政法系统干部的调配、交流、安置工作；负责县党代会、人代会、政协会的有关组织工作和各乡镇党代会、人代会和政协会的宏观指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3.研究制定全县领导班子和干部队伍建设的政策、措施；指导科级领导班子的思想作风建设；组织落实培养和选拔中青年干部，负责后备干部队伍建设工作；负责领导干部多媒体信息的采集和制作。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4.研究、指导全县党的组织制度和干部人事制度改革，制定或参与制定组织、干部、人事工作的重要政策和制度。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5.负责组织、干部工作的监督检查及有关的综合协调工作，及时向县委和州委组织部反映情况，提出建议。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6.主管干部教育工作。制定全县干部教育规划和有关政策规定；负责领导干部的培训工作；指导、协调县委党校等干部教育的基地建设、师资队伍建设和教材编写工作。负责全县党员（远程）教育工作。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7.负责全县人才工作及人才队伍建设的宏观指导和综合协调，牵头贯彻落实州委、州政府和县委县政府有关人才工作的重大政策和部署；协调、指导各类人才队伍建设的宏观规划、政策制定、表彰奖励等工作，负责“党政一把手抓第一资源”目标责任制的组织实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8.负责全县党员和基层党组织电化教育工作。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9.归口管理县直机关工委。负责指导县直机关党组织抓好党的思想、组织、作风建设。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10.归口管理县委老干部局。负责离退休干部工作的宏观管理，研究制定或参与制定离退休干部管理服务工作的相关制度措施。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11.负责研究拟订群众管理工作办法、工作制度、工作规范、纪律规定；负责县群众工作领导小组办公室日常事务。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12.负责全县关工委工作。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.完成县委交办的其他任务。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县委组织部总编制数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个（其中行政编制1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个，参公编制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个，工勤编制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个），在编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人）。在职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部门财政资金总收入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1381.91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,年初预算466.46万元，调整预算945.45万元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；其中当年财政拨款收入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1381.91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，占总收入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。决算报表收入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1381.91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部门财政资金总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1381.91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；其中当年财政拨款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1381.91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，占总收入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zh-CN"/>
        </w:rPr>
        <w:t>人员类经费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415.9万元，公用经费54.45万元，项目经费911.55万元。总支出与决算数相等。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主要包括：一般公共服务支出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821.39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万元、教育支出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267.13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万元、社会保障和就业支出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58.72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万元、卫生健康支出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24.41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万元、农林水支出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178.8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万元、住房保障支出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31.45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200"/>
        <w:contextualSpacing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决算报表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hint="eastAsia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为0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ascii="楷体_GB2312" w:hAnsi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履职效能。组织部按照职能和职责完成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2023年各项工作任务，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一是人才专项工作职能高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质量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举办全县培训班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期培训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00余人次，其中，年轻优秀干部参加各类提能培训班21期700余人次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，培训效率高，满意度高，支出培训费175万元；县配套人才专项经费80万元，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发挥省内对口支援和东西部协作帮扶“传帮带”作用，引进各类援助人才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招录公务员20名，招录事业人员20名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大力实施“硕博进阿坝”行动，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完成3名引进人才报到工作，并落实人才公寓和发放一次性安家补助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，人才效益发挥好，招录率完成98%；二是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完成老干部及关工委管理工作职能，投入144.41万元，慰问1146名老干部春节慰问等慰问工作及日常活动管理，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开展“金秋助学”“暖冬行动·爱心陪伴”“老少牵手·温暖童心”主题活动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，为困难家庭学生送去100份学习大礼包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200余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名特殊困难学生发放慰问金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；三是党建工作职能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全县各级党组织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208名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农村困难“三老”人员、离任村干部、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党员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生活补助及体检费5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6.76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，满意度极高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开展主题教育工作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组织各级党组织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开展“三会一课”240次，主题党日活动141次，开展理论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中心组学习37次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，支出10万元；驻村工作经费落实1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89名驻村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干部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驻村补贴125.38万元，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驻村第一书记和工作队员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能力提升培训班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1次11.64万元，购买驻村物资31.3万元，完成驻村任务率100%，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夯实党在基层执政基础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；四是保工资、保运转支出职能，按时足额发放和缴纳职工工资和保险。结合实际支付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自评得分：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分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。一是预算编制质量：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部门预算编制目标制定清晰，部门整体绩效目标编制完整、合理部门整体绩效目标能完整、合理反映部门年度职责履行情况，项目绩效目标编制明确，并通过了预算草案审查，审查后未提出确需修改的问题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，自评得分8分；二是单位收入统筹：单位全年收入均属财政拨款收入，纳入预算管理，结息收入按规定上缴财政，自评得分4分；三是支出执行进度：我部门大多资金属于年底补助性资金，年底集中支付率高，年中执行进度较慢，自评得分4分，扣2分。四是预算年终结余：年末结余为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收支平衡，自评得分2分；五是严控一般性支出：</w:t>
      </w:r>
      <w:r>
        <w:rPr>
          <w:rFonts w:hint="eastAsia"/>
          <w:lang w:val="en-US" w:eastAsia="zh-CN"/>
        </w:rPr>
        <w:t>2023年部门厉行节约，一般性支出办公费、会议费、差旅费、培训费、“三公”经费等支出决算数均低于2022年度决算数，自评得分5分。预算管理总体自评得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分：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一是财务管理制度：组织部严格规范内控制度，按照财务管理制度执行各项资金支付，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自评得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4分；二是财务岗位设置：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财务岗位设置明确，会计出纳分设，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自评得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2分；三是资金使用规范：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财政资金使用明确资金支付审核流程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，按照内控制度严格拨付，做到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规范有效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，自评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4分。财务管理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自评得分：10分。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一是人均资产变化率：严格按照资产管理制度执行，购买物资达到规定金额做入账登记，人均资产变化率低，自评得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3分；二是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资产利用率高，使用率达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100%，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人均资产利用率较高，因历史遗留问题，年末资产盘点卡片信息不全，下账处理困难，自评得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1分，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扣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2分。三是资产管理：部门无闲置资产，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自评得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3分。资产管理总体得分：7分。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2023年组织部无政府采购，未达到政府采购的标准项目均按照组织部政府采购内控制度执行，均在中小企业采购，采购执行率100%。自评得分：6分。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911.55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05" w:beforeAutospacing="0" w:after="105" w:afterAutospacing="0" w:line="560" w:lineRule="exact"/>
        <w:ind w:left="0" w:right="0" w:firstLine="739" w:firstLineChars="231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项目决策。一是决算程序：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  <w:t>根据部门实际需要编制预算，经过单位集体决策，项目绩效目标编制明确，并通过了预算草案审查，审查后未提出确需修改的问题，自评得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  <w:t>分。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  <w:t>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  <w:t>目标设置：一是党建工作经费项目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279.93万元，设立发放198名驻村干部补贴发放、业务培训及保险、物资购置等工作，表彰优秀驻村工作干部1次，完成全县主题教育工作、123名三老人员生活补助发放及体检工作，27名村干部学历提升，保障全县72个点位党员远程教育邮电费，提高自身组工业务能力，开展会议30余次；二是老干部及关工委工作经费165.34万元，开展24次老干部活动，惠及3000人次，全县春节慰问1116名老干部，落实4名离休干部护理费，发放28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退休干部困难补助，积极保障离退休干部日常管理有序。三是全县干部人才专项466.28万元，保障全县21名援藏干部艰边津贴及生活物资，开展2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期人才干部培训，惠及人数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800人次，落实19名选调生到村任职工作补助经费，落实专技12人外派生活补助共41.5万元，申请保护冰川研究补助30万元，完成全县160余名副县级干部体检工作及全县1800余名干部职工档案数字化加工，3名硕博进阿坝引进人才安家补助30万元，完成137名援藏干部和236名高层次人才春节慰问工作，有序完成全县干部考察、招录等工作。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目标设置科学合理、规范完整、量化细化、预算匹配。自评得4分；三是项目入库：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各项目按照预期目标完整、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经济活动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真实入库管理。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在规定时间内完成项目入库，自评得4分。项目决策总体得12分。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一是执行同向：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2023年度我部门实际列支项目与绩效预算阶段项目相符，预算节约率小于10%，得4分；二是项目调整：项目执行进度有序推进，完成绩效目标100%，无应采取未采取收回预算、年末根据资金使用进度调整结余资金为其他项目报财政审核后执行，得4分；三是执行结果：预算执行完成各项目标，</w:t>
      </w:r>
      <w:r>
        <w:rPr>
          <w:rFonts w:hint="eastAsia"/>
          <w:lang w:val="en-US" w:eastAsia="zh-CN"/>
        </w:rPr>
        <w:t>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部门项目多涉及人员补助类项目，导致资金支付进度上半年支付进度慢，下半年集中支付率较高，故扣2分，得2分。四是目标完成：目标设立清晰，完成率为100%，得4分。项目执行总体自评得分10分。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05" w:beforeAutospacing="0" w:after="105" w:afterAutospacing="0" w:line="560" w:lineRule="exact"/>
        <w:ind w:left="0" w:right="0" w:firstLine="420"/>
        <w:rPr>
          <w:rFonts w:hint="eastAsia" w:ascii="楷体_GB2312" w:hAnsi="楷体_GB2312" w:eastAsia="仿宋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目标实现。一是目标偏离：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预算项目绩效目标与实际有偏差，如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2023年驻村工作队表彰预算表彰经费800元/人，实际支付500元/人。其余项目均按目标完成无偏差，故扣1分。二是项目实现效果好，补助对象满意、项目执行好评率高、目标完成率高。3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个项目指标实际完成均达到预期指标，目标实现总体自评得分：10分。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Cs w:val="32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围绕内部应用情况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：通过绩效目标的制定和评定，逐步完善部门的内控制度。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信息公开情况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：信息公开完整真实，均按照财政要求及时公开预决算等信息。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 w:val="0"/>
          <w:szCs w:val="32"/>
          <w:lang w:val="en-US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整改反馈情况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进行分析：我单位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2023无巡视审计，但在自查工作中发现报销问题及时整改，严格规范内控。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contextualSpacing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2023年我部门在人大监督、巡视巡察、审计监督中未出现相关问题。在检查中积极配合对被评价部门。本部门在2023年度自评得分：93分。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05" w:beforeAutospacing="0" w:after="105" w:afterAutospacing="0" w:line="560" w:lineRule="exac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（二）存在问题。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一是预算编制准确度有待提高，存在中期追加、期末追减情况；二是固定资产卡片有未及时更新情况，管理有待完善；三是预算执行进度有待提高。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05" w:beforeAutospacing="0" w:after="105" w:afterAutospacing="0" w:line="560" w:lineRule="exact"/>
        <w:ind w:left="0" w:leftChars="0" w:right="0" w:firstLine="642" w:firstLineChars="200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改进建议。</w:t>
      </w:r>
      <w:bookmarkStart w:id="0" w:name="_Hlk110546638"/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一是加强每月预算执行监控，及时督促相关科室推进项目执行。二是通过近年预决算数据对比，科学编制预算，未雨绸缪尽量做好年度规划，降低经费追加减比例。三是及时更新固定资产卡片，提高单位成本费用准确度。四是财政加大对绩效工作培训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zh-C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contextualSpacing/>
        <w:textAlignment w:val="auto"/>
        <w:outlineLvl w:val="9"/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部门整体支出绩效目标完成情况自评表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附表</w:t>
      </w:r>
    </w:p>
    <w:tbl>
      <w:tblPr>
        <w:tblStyle w:val="13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663"/>
        <w:gridCol w:w="1710"/>
        <w:gridCol w:w="1143"/>
        <w:gridCol w:w="1291"/>
        <w:gridCol w:w="1058"/>
        <w:gridCol w:w="926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部门整体支出绩效目标完成情况自评表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中共黑水县委组织部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1381.91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1381.91</w:t>
            </w:r>
          </w:p>
        </w:tc>
        <w:tc>
          <w:tcPr>
            <w:tcW w:w="4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9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全县党组织体系、组织制度建设、基层党组织建设，全县领导干部队伍建设的管理，全县公务员工作，干部教育，人才培训选拔，组织系统干部监督工作，全县老干部工作，管理县委机构编制委员会办公室，全县关工委工作等职能，2023年重点：一是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>；二是开展党员教育活动，三是完成换届后的调研等；四是围绕生态建设抓党建工作；五是抓实党建引领基层治理工作；六是持续深化驻村工作和两联一进开展；七是加强干部人才队伍建设，做实乡村振兴人才振兴和组织振兴工作；八是完成组织部日常运转及上级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单位“三保支出”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保人员工资、保险及运转等基本支出。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落实</w:t>
            </w: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余名三老人员生活补助及体检费，开展主题教育工作及理论学习中心组学习、管理和落实189名驻村队员乡镇补贴、物资及业务培训、完成29名村干部学历提升，72个点位党员远程教育等引领基层党建促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人才干部专项工作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完成组织</w:t>
            </w: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期培训1800人次，落实招录硕博人才3名安家补助，保障援藏干部生活物资和艰边津贴发放，落实19名选调生到村任职工作补助，保障外派12名专技人员生活补助，完成全县副县级干部体检工作，全县干部档案管理、人才考察及慰问等干部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老干部及关工委工作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开展离退休老干部活动，落实</w:t>
            </w:r>
            <w:r>
              <w:rPr>
                <w:rFonts w:hint="eastAsia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1146名退休干部春节和重阳节等慰问和补助。开展关心关爱下一代活动4次。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人员、公用经费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全县退休干部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1146人慰问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关心关爱下一代活动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三老人员</w:t>
            </w: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140人生活补助及体检和村干部学历提升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干部培训次数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期</w:t>
            </w: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党员远程教育点位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全县副县级干部体检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驻村干部乡镇补助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人才补助（援藏干部艰边、选调生工作补助、高层次人才慰问、硕博引进及外派专技生活补助）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人次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政策落实覆盖率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培训效果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资金支付和使用率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社会好评率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补助对象合理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合理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服务及补助对象满意度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3FE8E"/>
    <w:multiLevelType w:val="singleLevel"/>
    <w:tmpl w:val="1593FE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4F7244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42765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25238F2"/>
    <w:rsid w:val="02824861"/>
    <w:rsid w:val="04047163"/>
    <w:rsid w:val="04400654"/>
    <w:rsid w:val="049910AA"/>
    <w:rsid w:val="08811B77"/>
    <w:rsid w:val="08915B60"/>
    <w:rsid w:val="08E0592A"/>
    <w:rsid w:val="0A0C4EE9"/>
    <w:rsid w:val="0A10078A"/>
    <w:rsid w:val="0C067727"/>
    <w:rsid w:val="0DC31556"/>
    <w:rsid w:val="0EAC37A5"/>
    <w:rsid w:val="0F7374E5"/>
    <w:rsid w:val="0FBE17F2"/>
    <w:rsid w:val="105F2BFF"/>
    <w:rsid w:val="12AF7066"/>
    <w:rsid w:val="133E22AC"/>
    <w:rsid w:val="13A41C4E"/>
    <w:rsid w:val="13B25F81"/>
    <w:rsid w:val="14523F75"/>
    <w:rsid w:val="15B8666D"/>
    <w:rsid w:val="16211014"/>
    <w:rsid w:val="16764A03"/>
    <w:rsid w:val="17171A04"/>
    <w:rsid w:val="181F37CF"/>
    <w:rsid w:val="18D976CA"/>
    <w:rsid w:val="19150E43"/>
    <w:rsid w:val="1A3D6143"/>
    <w:rsid w:val="1A4F1B36"/>
    <w:rsid w:val="1BFC2956"/>
    <w:rsid w:val="1C013801"/>
    <w:rsid w:val="1CE21F11"/>
    <w:rsid w:val="1DFD8D3B"/>
    <w:rsid w:val="1FB79DC9"/>
    <w:rsid w:val="1FBFC3F2"/>
    <w:rsid w:val="1FFFE033"/>
    <w:rsid w:val="214D413B"/>
    <w:rsid w:val="24EC2F49"/>
    <w:rsid w:val="253A55D0"/>
    <w:rsid w:val="2596030D"/>
    <w:rsid w:val="271C17D2"/>
    <w:rsid w:val="27806B60"/>
    <w:rsid w:val="27F352A6"/>
    <w:rsid w:val="2994678D"/>
    <w:rsid w:val="2B7E20D4"/>
    <w:rsid w:val="2D442026"/>
    <w:rsid w:val="2D527252"/>
    <w:rsid w:val="2DB40C9B"/>
    <w:rsid w:val="2DDC1740"/>
    <w:rsid w:val="2DFA6884"/>
    <w:rsid w:val="2E3A51DD"/>
    <w:rsid w:val="2EAE55F2"/>
    <w:rsid w:val="2EDF4302"/>
    <w:rsid w:val="2EFE1A04"/>
    <w:rsid w:val="302E5D71"/>
    <w:rsid w:val="319101DA"/>
    <w:rsid w:val="3293524A"/>
    <w:rsid w:val="32A43B4D"/>
    <w:rsid w:val="33826FE4"/>
    <w:rsid w:val="35BBF80F"/>
    <w:rsid w:val="39FC087B"/>
    <w:rsid w:val="3B736F08"/>
    <w:rsid w:val="3BE3D531"/>
    <w:rsid w:val="3D3D7FEE"/>
    <w:rsid w:val="3D431A40"/>
    <w:rsid w:val="3EFF42CA"/>
    <w:rsid w:val="3F6FCA38"/>
    <w:rsid w:val="3FD5AF3D"/>
    <w:rsid w:val="3FFED8BE"/>
    <w:rsid w:val="3FFF43BB"/>
    <w:rsid w:val="40322FE1"/>
    <w:rsid w:val="41B16A3A"/>
    <w:rsid w:val="433DCF8E"/>
    <w:rsid w:val="45FF973D"/>
    <w:rsid w:val="47550EBA"/>
    <w:rsid w:val="476600AD"/>
    <w:rsid w:val="48562D1F"/>
    <w:rsid w:val="4A37292E"/>
    <w:rsid w:val="4ACB6FFE"/>
    <w:rsid w:val="4B88175E"/>
    <w:rsid w:val="4BF7E09D"/>
    <w:rsid w:val="4CCD6B36"/>
    <w:rsid w:val="4E1E0C5F"/>
    <w:rsid w:val="4FFFFC3E"/>
    <w:rsid w:val="505D56F4"/>
    <w:rsid w:val="505F4A1C"/>
    <w:rsid w:val="51E01C50"/>
    <w:rsid w:val="51FF28DD"/>
    <w:rsid w:val="52530821"/>
    <w:rsid w:val="53BB74FC"/>
    <w:rsid w:val="53F61B0B"/>
    <w:rsid w:val="55871EC9"/>
    <w:rsid w:val="55AF03EA"/>
    <w:rsid w:val="55FDDF92"/>
    <w:rsid w:val="55FFBC03"/>
    <w:rsid w:val="56CDA72E"/>
    <w:rsid w:val="576F5916"/>
    <w:rsid w:val="577FDAE2"/>
    <w:rsid w:val="57FBE2C7"/>
    <w:rsid w:val="59277080"/>
    <w:rsid w:val="597F306F"/>
    <w:rsid w:val="59E0414A"/>
    <w:rsid w:val="5A28037D"/>
    <w:rsid w:val="5B001B8A"/>
    <w:rsid w:val="5B335734"/>
    <w:rsid w:val="5B7F322F"/>
    <w:rsid w:val="5BCAB023"/>
    <w:rsid w:val="5D1E4CE0"/>
    <w:rsid w:val="5D9C774D"/>
    <w:rsid w:val="5DDA9B94"/>
    <w:rsid w:val="5E873AA5"/>
    <w:rsid w:val="5EAB810D"/>
    <w:rsid w:val="5EFF9DA6"/>
    <w:rsid w:val="5F15285B"/>
    <w:rsid w:val="5F3A2DEC"/>
    <w:rsid w:val="5F7751B9"/>
    <w:rsid w:val="5F9F7232"/>
    <w:rsid w:val="5F9F9588"/>
    <w:rsid w:val="5FBD32D2"/>
    <w:rsid w:val="5FD450B0"/>
    <w:rsid w:val="5FEF60CD"/>
    <w:rsid w:val="5FFB203D"/>
    <w:rsid w:val="5FFB8CF9"/>
    <w:rsid w:val="608568E6"/>
    <w:rsid w:val="61BC61FA"/>
    <w:rsid w:val="62225737"/>
    <w:rsid w:val="63DBAF21"/>
    <w:rsid w:val="64580917"/>
    <w:rsid w:val="6636451A"/>
    <w:rsid w:val="676D0DD4"/>
    <w:rsid w:val="67DE80AA"/>
    <w:rsid w:val="697E3B47"/>
    <w:rsid w:val="69BF132E"/>
    <w:rsid w:val="6BE06674"/>
    <w:rsid w:val="6BFEE5F3"/>
    <w:rsid w:val="6CAFF34E"/>
    <w:rsid w:val="6CFF7F32"/>
    <w:rsid w:val="6CFFCF4F"/>
    <w:rsid w:val="6D8577E5"/>
    <w:rsid w:val="6DFFF8B6"/>
    <w:rsid w:val="6E9FE641"/>
    <w:rsid w:val="6EEDE807"/>
    <w:rsid w:val="6EEE4BE4"/>
    <w:rsid w:val="6EF65E9C"/>
    <w:rsid w:val="6F3D9197"/>
    <w:rsid w:val="6FAB3EC4"/>
    <w:rsid w:val="6FB6AF41"/>
    <w:rsid w:val="6FD894C8"/>
    <w:rsid w:val="6FE36A9E"/>
    <w:rsid w:val="6FEFB2D1"/>
    <w:rsid w:val="6FFF97E6"/>
    <w:rsid w:val="701F00C7"/>
    <w:rsid w:val="702F20B5"/>
    <w:rsid w:val="704E6106"/>
    <w:rsid w:val="71397E03"/>
    <w:rsid w:val="71FB5B08"/>
    <w:rsid w:val="71FC4AD4"/>
    <w:rsid w:val="727B5BEB"/>
    <w:rsid w:val="7340412B"/>
    <w:rsid w:val="73D42250"/>
    <w:rsid w:val="73FB87D9"/>
    <w:rsid w:val="75EF0FBA"/>
    <w:rsid w:val="7607C293"/>
    <w:rsid w:val="76DFA4E8"/>
    <w:rsid w:val="771251C0"/>
    <w:rsid w:val="778720BD"/>
    <w:rsid w:val="77A7D615"/>
    <w:rsid w:val="77FF366A"/>
    <w:rsid w:val="77FF8C96"/>
    <w:rsid w:val="77FFA8F9"/>
    <w:rsid w:val="78E4121A"/>
    <w:rsid w:val="795A269F"/>
    <w:rsid w:val="7976604B"/>
    <w:rsid w:val="79F3BC78"/>
    <w:rsid w:val="7A5B6CAA"/>
    <w:rsid w:val="7A7A6DB6"/>
    <w:rsid w:val="7A9314AC"/>
    <w:rsid w:val="7B3971E0"/>
    <w:rsid w:val="7B4F6850"/>
    <w:rsid w:val="7BABD5C4"/>
    <w:rsid w:val="7BB12055"/>
    <w:rsid w:val="7BBFADBA"/>
    <w:rsid w:val="7BFF492D"/>
    <w:rsid w:val="7C631402"/>
    <w:rsid w:val="7C978C63"/>
    <w:rsid w:val="7CA35AD0"/>
    <w:rsid w:val="7CAD1B75"/>
    <w:rsid w:val="7CDF8BC3"/>
    <w:rsid w:val="7CE814AD"/>
    <w:rsid w:val="7CEB72A5"/>
    <w:rsid w:val="7D18750B"/>
    <w:rsid w:val="7DB86B5D"/>
    <w:rsid w:val="7DDFDC39"/>
    <w:rsid w:val="7E140770"/>
    <w:rsid w:val="7E5D92FB"/>
    <w:rsid w:val="7E5E6928"/>
    <w:rsid w:val="7EF51D64"/>
    <w:rsid w:val="7EFFF488"/>
    <w:rsid w:val="7F3564C6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6B95412"/>
    <w:rsid w:val="D7F99798"/>
    <w:rsid w:val="D7FF400C"/>
    <w:rsid w:val="DBED1CD4"/>
    <w:rsid w:val="DBFBB328"/>
    <w:rsid w:val="DDD7453A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四号正文"/>
    <w:basedOn w:val="1"/>
    <w:link w:val="18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8">
    <w:name w:val="四号正文 Char"/>
    <w:basedOn w:val="15"/>
    <w:link w:val="17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9">
    <w:name w:val="文档结构图 Char"/>
    <w:basedOn w:val="15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页脚 Char"/>
    <w:basedOn w:val="15"/>
    <w:link w:val="8"/>
    <w:qFormat/>
    <w:uiPriority w:val="99"/>
    <w:rPr>
      <w:kern w:val="2"/>
      <w:sz w:val="18"/>
      <w:szCs w:val="18"/>
    </w:rPr>
  </w:style>
  <w:style w:type="character" w:customStyle="1" w:styleId="22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5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2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2019-05-29T11:06:00Z</dcterms:created>
  <dc:creator>陈萍</dc:creator>
  <cp:lastModifiedBy>user</cp:lastModifiedBy>
  <cp:lastPrinted>2024-07-26T00:37:00Z</cp:lastPrinted>
  <dcterms:modified xsi:type="dcterms:W3CDTF">2025-05-13T17:35:44Z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A51A36801428E9B041879466C62AECE8</vt:lpwstr>
  </property>
</Properties>
</file>