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78" w:lineRule="exact"/>
        <w:contextualSpacing/>
        <w:jc w:val="center"/>
        <w:rPr>
          <w:rFonts w:hint="eastAsia" w:eastAsia="方正小标宋简体"/>
          <w:bCs/>
          <w:sz w:val="44"/>
          <w:szCs w:val="44"/>
          <w:shd w:val="clear" w:color="auto" w:fill="FFFFFF"/>
          <w:lang w:val="en-US" w:eastAsia="zh-CN"/>
        </w:rPr>
      </w:pPr>
      <w:r>
        <w:rPr>
          <w:rFonts w:hint="eastAsia" w:eastAsia="方正小标宋简体"/>
          <w:bCs/>
          <w:sz w:val="44"/>
          <w:szCs w:val="44"/>
          <w:shd w:val="clear" w:color="auto" w:fill="FFFFFF"/>
          <w:lang w:val="en-US" w:eastAsia="zh-CN"/>
        </w:rPr>
        <w:t>黑水县党史研究和地方志编纂中心</w:t>
      </w:r>
    </w:p>
    <w:p>
      <w:pPr>
        <w:widowControl/>
        <w:spacing w:line="578" w:lineRule="exact"/>
        <w:contextualSpacing/>
        <w:jc w:val="center"/>
        <w:rPr>
          <w:rFonts w:eastAsia="方正小标宋简体"/>
          <w:bCs/>
          <w:sz w:val="44"/>
          <w:szCs w:val="44"/>
          <w:shd w:val="clear" w:color="auto" w:fill="FFFFFF"/>
        </w:rPr>
      </w:pPr>
      <w:r>
        <w:rPr>
          <w:rFonts w:eastAsia="方正小标宋简体"/>
          <w:bCs/>
          <w:sz w:val="44"/>
          <w:szCs w:val="44"/>
          <w:shd w:val="clear" w:color="auto" w:fill="FFFFFF"/>
        </w:rPr>
        <w:t>部门</w:t>
      </w:r>
      <w:r>
        <w:rPr>
          <w:rFonts w:hint="eastAsia" w:eastAsia="方正小标宋简体"/>
          <w:bCs/>
          <w:sz w:val="44"/>
          <w:szCs w:val="44"/>
          <w:shd w:val="clear" w:color="auto" w:fill="FFFFFF"/>
          <w:lang w:eastAsia="zh-CN"/>
        </w:rPr>
        <w:t>整体支出</w:t>
      </w:r>
      <w:r>
        <w:rPr>
          <w:rFonts w:eastAsia="方正小标宋简体"/>
          <w:bCs/>
          <w:sz w:val="44"/>
          <w:szCs w:val="44"/>
          <w:shd w:val="clear" w:color="auto" w:fill="FFFFFF"/>
        </w:rPr>
        <w:t>绩效</w:t>
      </w:r>
      <w:r>
        <w:rPr>
          <w:rFonts w:hint="eastAsia" w:eastAsia="方正小标宋简体"/>
          <w:bCs/>
          <w:sz w:val="44"/>
          <w:szCs w:val="44"/>
          <w:shd w:val="clear" w:color="auto" w:fill="FFFFFF"/>
        </w:rPr>
        <w:t>评价</w:t>
      </w:r>
      <w:r>
        <w:rPr>
          <w:rFonts w:eastAsia="方正小标宋简体"/>
          <w:bCs/>
          <w:sz w:val="44"/>
          <w:szCs w:val="44"/>
          <w:shd w:val="clear" w:color="auto" w:fill="FFFFFF"/>
        </w:rPr>
        <w:t>报告</w:t>
      </w:r>
    </w:p>
    <w:p>
      <w:pPr>
        <w:widowControl/>
        <w:adjustRightInd w:val="0"/>
        <w:snapToGrid w:val="0"/>
        <w:spacing w:line="578" w:lineRule="exact"/>
        <w:ind w:firstLine="480" w:firstLineChars="200"/>
        <w:contextualSpacing/>
        <w:jc w:val="left"/>
        <w:rPr>
          <w:rFonts w:eastAsia="黑体"/>
          <w:color w:val="000000"/>
          <w:kern w:val="0"/>
          <w:sz w:val="24"/>
          <w:szCs w:val="32"/>
          <w:shd w:val="clear" w:color="auto" w:fill="FFFFFF"/>
        </w:rPr>
      </w:pPr>
    </w:p>
    <w:p>
      <w:pPr>
        <w:widowControl/>
        <w:adjustRightInd w:val="0"/>
        <w:snapToGrid w:val="0"/>
        <w:spacing w:line="578" w:lineRule="exact"/>
        <w:ind w:firstLine="640" w:firstLineChars="200"/>
        <w:contextualSpacing/>
        <w:jc w:val="left"/>
        <w:rPr>
          <w:szCs w:val="32"/>
        </w:rPr>
      </w:pPr>
      <w:r>
        <w:rPr>
          <w:rFonts w:hint="eastAsia" w:eastAsia="黑体"/>
          <w:color w:val="000000"/>
          <w:kern w:val="0"/>
          <w:szCs w:val="32"/>
          <w:shd w:val="clear" w:color="auto" w:fill="FFFFFF"/>
          <w:lang w:val="zh-CN"/>
        </w:rPr>
        <w:t>一、部门概况</w:t>
      </w:r>
    </w:p>
    <w:p>
      <w:pPr>
        <w:widowControl/>
        <w:adjustRightInd w:val="0"/>
        <w:snapToGrid w:val="0"/>
        <w:spacing w:line="578" w:lineRule="exact"/>
        <w:ind w:firstLine="642" w:firstLineChars="200"/>
        <w:contextualSpacing/>
        <w:jc w:val="left"/>
        <w:rPr>
          <w:rFonts w:hint="eastAsia" w:eastAsia="楷体_GB2312"/>
          <w:b/>
          <w:bCs/>
          <w:color w:val="000000"/>
          <w:kern w:val="0"/>
          <w:szCs w:val="32"/>
          <w:shd w:val="clear" w:color="auto" w:fill="FFFFFF"/>
          <w:lang w:val="zh-CN"/>
        </w:rPr>
      </w:pPr>
      <w:r>
        <w:rPr>
          <w:rFonts w:hint="eastAsia" w:eastAsia="楷体_GB2312"/>
          <w:b/>
          <w:bCs/>
          <w:color w:val="000000"/>
          <w:kern w:val="0"/>
          <w:szCs w:val="32"/>
          <w:shd w:val="clear" w:color="auto" w:fill="FFFFFF"/>
          <w:lang w:val="zh-CN"/>
        </w:rPr>
        <w:t>（一）</w:t>
      </w:r>
      <w:r>
        <w:rPr>
          <w:rFonts w:eastAsia="楷体_GB2312"/>
          <w:b/>
          <w:bCs/>
          <w:color w:val="000000"/>
          <w:kern w:val="0"/>
          <w:szCs w:val="32"/>
          <w:shd w:val="clear" w:color="auto" w:fill="FFFFFF"/>
          <w:lang w:val="zh-CN"/>
        </w:rPr>
        <w:t>机构组成。</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黑体"/>
          <w:bCs/>
          <w:szCs w:val="32"/>
          <w:lang w:eastAsia="zh-CN"/>
        </w:rPr>
      </w:pPr>
      <w:r>
        <w:rPr>
          <w:rFonts w:hint="eastAsia" w:ascii="仿宋_GB2312" w:hAnsi="仿宋" w:eastAsia="仿宋_GB2312"/>
          <w:color w:val="000000"/>
          <w:sz w:val="32"/>
          <w:szCs w:val="32"/>
        </w:rPr>
        <w:t>黑水县</w:t>
      </w:r>
      <w:r>
        <w:rPr>
          <w:rFonts w:hint="eastAsia" w:ascii="仿宋_GB2312" w:hAnsi="仿宋" w:eastAsia="仿宋_GB2312"/>
          <w:color w:val="000000"/>
          <w:sz w:val="32"/>
          <w:szCs w:val="32"/>
          <w:lang w:eastAsia="zh-CN"/>
        </w:rPr>
        <w:t>史志编纂中心</w:t>
      </w:r>
      <w:r>
        <w:rPr>
          <w:rFonts w:hint="eastAsia" w:ascii="仿宋_GB2312" w:hAnsi="仿宋" w:eastAsia="仿宋_GB2312"/>
          <w:color w:val="000000"/>
          <w:sz w:val="32"/>
          <w:szCs w:val="32"/>
        </w:rPr>
        <w:t>属一级预算单位，无下属二级预算单位。黑水县</w:t>
      </w:r>
      <w:r>
        <w:rPr>
          <w:rFonts w:hint="eastAsia" w:ascii="仿宋_GB2312" w:hAnsi="仿宋" w:eastAsia="仿宋_GB2312"/>
          <w:color w:val="000000"/>
          <w:sz w:val="32"/>
          <w:szCs w:val="32"/>
          <w:lang w:eastAsia="zh-CN"/>
        </w:rPr>
        <w:t>史志编纂中心</w:t>
      </w:r>
      <w:r>
        <w:rPr>
          <w:rFonts w:hint="eastAsia" w:ascii="仿宋_GB2312" w:hAnsi="仿宋" w:eastAsia="仿宋_GB2312"/>
          <w:color w:val="000000"/>
          <w:sz w:val="32"/>
          <w:szCs w:val="32"/>
        </w:rPr>
        <w:t>无下属二级预算单位。</w:t>
      </w:r>
      <w:r>
        <w:rPr>
          <w:rFonts w:hint="eastAsia" w:ascii="仿宋_GB2312" w:hAnsi="黑体" w:cs="黑体"/>
          <w:bCs/>
          <w:szCs w:val="32"/>
        </w:rPr>
        <w:t>部门内设</w:t>
      </w:r>
      <w:r>
        <w:rPr>
          <w:rFonts w:hint="eastAsia" w:ascii="仿宋_GB2312" w:hAnsi="黑体" w:cs="黑体"/>
          <w:bCs/>
          <w:szCs w:val="32"/>
          <w:lang w:val="en-US" w:eastAsia="zh-CN"/>
        </w:rPr>
        <w:t>3</w:t>
      </w:r>
      <w:r>
        <w:rPr>
          <w:rFonts w:hint="eastAsia" w:ascii="仿宋_GB2312" w:hAnsi="黑体" w:cs="黑体"/>
          <w:bCs/>
          <w:szCs w:val="32"/>
        </w:rPr>
        <w:t>个股室，分别为</w:t>
      </w:r>
      <w:r>
        <w:rPr>
          <w:rFonts w:hint="eastAsia" w:ascii="仿宋_GB2312" w:hAnsi="黑体" w:cs="黑体"/>
          <w:bCs/>
          <w:szCs w:val="32"/>
          <w:lang w:eastAsia="zh-CN"/>
        </w:rPr>
        <w:t>党史编研股</w:t>
      </w:r>
      <w:r>
        <w:rPr>
          <w:rFonts w:hint="eastAsia" w:ascii="仿宋_GB2312" w:hAnsi="黑体" w:cs="黑体"/>
          <w:bCs/>
          <w:szCs w:val="32"/>
        </w:rPr>
        <w:t>、</w:t>
      </w:r>
      <w:r>
        <w:rPr>
          <w:rFonts w:hint="eastAsia" w:ascii="仿宋_GB2312" w:hAnsi="黑体" w:cs="黑体"/>
          <w:bCs/>
          <w:szCs w:val="32"/>
          <w:lang w:eastAsia="zh-CN"/>
        </w:rPr>
        <w:t>地方志编审股、办公室。</w:t>
      </w:r>
    </w:p>
    <w:p>
      <w:pPr>
        <w:widowControl/>
        <w:adjustRightInd w:val="0"/>
        <w:snapToGrid w:val="0"/>
        <w:spacing w:line="578" w:lineRule="exact"/>
        <w:ind w:firstLine="642" w:firstLineChars="200"/>
        <w:contextualSpacing/>
        <w:jc w:val="left"/>
        <w:rPr>
          <w:rFonts w:hint="eastAsia" w:ascii="楷体_GB2312" w:hAnsi="楷体_GB2312" w:eastAsia="楷体_GB2312" w:cs="楷体_GB2312"/>
          <w:sz w:val="32"/>
          <w:szCs w:val="32"/>
        </w:rPr>
      </w:pPr>
      <w:r>
        <w:rPr>
          <w:rFonts w:eastAsia="楷体_GB2312"/>
          <w:b/>
          <w:bCs/>
          <w:color w:val="000000"/>
          <w:kern w:val="0"/>
          <w:szCs w:val="32"/>
          <w:shd w:val="clear" w:color="auto" w:fill="FFFFFF"/>
          <w:lang w:val="zh-CN"/>
        </w:rPr>
        <w:t>（二）机构职能</w:t>
      </w:r>
      <w:r>
        <w:rPr>
          <w:rFonts w:hint="eastAsia" w:eastAsia="楷体_GB2312"/>
          <w:b/>
          <w:bCs/>
          <w:color w:val="000000"/>
          <w:kern w:val="0"/>
          <w:szCs w:val="32"/>
          <w:shd w:val="clear" w:color="auto" w:fill="FFFFFF"/>
          <w:lang w:val="zh-CN"/>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1、党史编研工作职责：征编、整理全县的党史资料，编辑出版《党史正本》和《黑水县党史大事记》及重要党史书籍；研究党的历史经验，为领导机关决策提供科学依据；运用党史资料对干部、群众进行思想、道德、革命传统教育，为社会主义建设和党的自身建设服务；做好党史书刊的宣传发行工作；完成县委和上级业务部门交办的其他征编任务。  </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2、地方志工作职责：负责制定修志规划，组织、指导和编纂出版县志、部门志工作；完成地方年鉴、概况等编辑；负责地方文献的收集整理和旧志资料的校注出版工作；加强地方志</w:t>
      </w:r>
      <w:r>
        <w:rPr>
          <w:rFonts w:hint="eastAsia" w:ascii="仿宋_GB2312" w:hAnsi="仿宋_GB2312" w:cs="仿宋_GB2312"/>
          <w:sz w:val="32"/>
          <w:szCs w:val="32"/>
          <w:lang w:eastAsia="zh-CN"/>
        </w:rPr>
        <w:t>工作</w:t>
      </w:r>
      <w:r>
        <w:rPr>
          <w:rFonts w:hint="eastAsia" w:ascii="仿宋_GB2312" w:hAnsi="仿宋_GB2312" w:eastAsia="仿宋_GB2312" w:cs="仿宋_GB2312"/>
          <w:sz w:val="32"/>
          <w:szCs w:val="32"/>
        </w:rPr>
        <w:t>条例的宣传、贯彻，做好服务咨询工作，充分发挥地方志存史资政的社会功能；完成县委、县政府和上级业务部门交办的其他工作。  </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_GB2312" w:eastAsia="仿宋_GB2312" w:cs="仿宋_GB2312"/>
          <w:sz w:val="32"/>
          <w:szCs w:val="32"/>
        </w:rPr>
        <w:t>3、办公室工作职责：做好文件的收发、起草、承办工作；负责本单位的档案收集、整理，立卷归档和管理工作；负责职工考勤、后勤管理等工作；组织职工学习，并做好会议记录；做好办公室的日常工作；完成领导交办的其他工作。  </w:t>
      </w:r>
    </w:p>
    <w:p>
      <w:pPr>
        <w:widowControl/>
        <w:adjustRightInd w:val="0"/>
        <w:snapToGrid w:val="0"/>
        <w:spacing w:line="578" w:lineRule="exact"/>
        <w:ind w:firstLine="642" w:firstLineChars="200"/>
        <w:contextualSpacing/>
        <w:jc w:val="left"/>
        <w:rPr>
          <w:rFonts w:hint="eastAsia" w:eastAsia="楷体_GB2312"/>
          <w:b/>
          <w:bCs/>
          <w:color w:val="000000"/>
          <w:kern w:val="0"/>
          <w:szCs w:val="32"/>
          <w:shd w:val="clear" w:color="auto" w:fill="FFFFFF"/>
          <w:lang w:val="zh-CN"/>
        </w:rPr>
      </w:pPr>
      <w:r>
        <w:rPr>
          <w:rFonts w:hint="eastAsia" w:eastAsia="楷体_GB2312"/>
          <w:b/>
          <w:bCs/>
          <w:color w:val="000000"/>
          <w:kern w:val="0"/>
          <w:szCs w:val="32"/>
          <w:shd w:val="clear" w:color="auto" w:fill="FFFFFF"/>
          <w:lang w:val="zh-CN"/>
        </w:rPr>
        <w:t>（三）人员概况。</w:t>
      </w:r>
    </w:p>
    <w:p>
      <w:pPr>
        <w:keepNext w:val="0"/>
        <w:keepLines w:val="0"/>
        <w:pageBreakBefore w:val="0"/>
        <w:kinsoku/>
        <w:wordWrap/>
        <w:overflowPunct/>
        <w:topLinePunct w:val="0"/>
        <w:autoSpaceDE/>
        <w:autoSpaceDN/>
        <w:bidi w:val="0"/>
        <w:adjustRightInd/>
        <w:snapToGrid/>
        <w:spacing w:line="560" w:lineRule="exact"/>
        <w:ind w:left="640" w:leftChars="200"/>
        <w:textAlignment w:val="auto"/>
        <w:rPr>
          <w:rFonts w:hint="eastAsia" w:ascii="仿宋_GB2312" w:hAnsi="仿宋" w:eastAsia="仿宋_GB2312" w:cs="仿宋_GB2312"/>
          <w:sz w:val="32"/>
          <w:szCs w:val="32"/>
        </w:rPr>
      </w:pPr>
      <w:r>
        <w:rPr>
          <w:rFonts w:hint="eastAsia" w:ascii="仿宋_GB2312" w:hAnsi="仿宋" w:eastAsia="仿宋_GB2312"/>
          <w:color w:val="000000"/>
          <w:sz w:val="32"/>
          <w:szCs w:val="32"/>
        </w:rPr>
        <w:t>我</w:t>
      </w:r>
      <w:r>
        <w:rPr>
          <w:rFonts w:hint="eastAsia" w:ascii="仿宋_GB2312" w:hAnsi="仿宋" w:eastAsia="仿宋_GB2312"/>
          <w:color w:val="000000"/>
          <w:sz w:val="32"/>
          <w:szCs w:val="32"/>
          <w:lang w:eastAsia="zh-CN"/>
        </w:rPr>
        <w:t>中心</w:t>
      </w:r>
      <w:r>
        <w:rPr>
          <w:rFonts w:hint="eastAsia" w:ascii="仿宋_GB2312" w:hAnsi="仿宋" w:eastAsia="仿宋_GB2312"/>
          <w:color w:val="000000"/>
          <w:sz w:val="32"/>
          <w:szCs w:val="32"/>
        </w:rPr>
        <w:t>总编制</w:t>
      </w:r>
      <w:r>
        <w:rPr>
          <w:rFonts w:hint="eastAsia" w:ascii="仿宋_GB2312" w:hAnsi="仿宋"/>
          <w:color w:val="000000"/>
          <w:sz w:val="32"/>
          <w:szCs w:val="32"/>
          <w:lang w:val="en-US" w:eastAsia="zh-CN"/>
        </w:rPr>
        <w:t>10</w:t>
      </w:r>
      <w:r>
        <w:rPr>
          <w:rFonts w:hint="eastAsia" w:ascii="仿宋_GB2312" w:hAnsi="仿宋" w:eastAsia="仿宋_GB2312"/>
          <w:color w:val="000000"/>
          <w:sz w:val="32"/>
          <w:szCs w:val="32"/>
        </w:rPr>
        <w:t>名，其中：参公编制</w:t>
      </w:r>
      <w:r>
        <w:rPr>
          <w:rFonts w:hint="eastAsia" w:ascii="仿宋_GB2312" w:hAnsi="仿宋"/>
          <w:color w:val="000000"/>
          <w:sz w:val="32"/>
          <w:szCs w:val="32"/>
          <w:lang w:val="en-US" w:eastAsia="zh-CN"/>
        </w:rPr>
        <w:t>10</w:t>
      </w:r>
      <w:r>
        <w:rPr>
          <w:rFonts w:hint="eastAsia" w:ascii="仿宋_GB2312" w:hAnsi="仿宋" w:eastAsia="仿宋_GB2312"/>
          <w:color w:val="000000"/>
          <w:sz w:val="32"/>
          <w:szCs w:val="32"/>
        </w:rPr>
        <w:t>名。在职人员总数</w:t>
      </w:r>
      <w:r>
        <w:rPr>
          <w:rFonts w:hint="eastAsia" w:ascii="仿宋_GB2312" w:hAnsi="仿宋" w:eastAsia="仿宋_GB2312"/>
          <w:color w:val="000000"/>
          <w:sz w:val="32"/>
          <w:szCs w:val="32"/>
          <w:lang w:val="en-US" w:eastAsia="zh-CN"/>
        </w:rPr>
        <w:t>8</w:t>
      </w:r>
      <w:r>
        <w:rPr>
          <w:rFonts w:hint="eastAsia" w:ascii="仿宋_GB2312" w:hAnsi="仿宋" w:eastAsia="仿宋_GB2312"/>
          <w:color w:val="000000"/>
          <w:sz w:val="32"/>
          <w:szCs w:val="32"/>
        </w:rPr>
        <w:t>人，退休人员6人。</w:t>
      </w:r>
    </w:p>
    <w:p>
      <w:pPr>
        <w:spacing w:line="580" w:lineRule="exact"/>
        <w:ind w:firstLine="640" w:firstLineChars="200"/>
        <w:rPr>
          <w:rFonts w:eastAsia="黑体"/>
          <w:color w:val="000000"/>
          <w:kern w:val="0"/>
          <w:szCs w:val="32"/>
          <w:shd w:val="clear" w:color="auto" w:fill="FFFFFF"/>
        </w:rPr>
      </w:pPr>
      <w:r>
        <w:rPr>
          <w:rFonts w:hint="eastAsia" w:eastAsia="黑体"/>
          <w:color w:val="000000"/>
          <w:kern w:val="0"/>
          <w:szCs w:val="32"/>
          <w:shd w:val="clear" w:color="auto" w:fill="FFFFFF"/>
        </w:rPr>
        <w:t>二、部门财政资金收支情况</w:t>
      </w:r>
    </w:p>
    <w:p>
      <w:pPr>
        <w:spacing w:line="580" w:lineRule="exact"/>
        <w:ind w:firstLine="642" w:firstLineChars="200"/>
        <w:rPr>
          <w:rFonts w:ascii="仿宋_GB2312" w:hAnsi="仿宋" w:eastAsia="仿宋_GB2312" w:cs="仿宋_GB2312"/>
          <w:sz w:val="32"/>
          <w:szCs w:val="32"/>
        </w:rPr>
      </w:pPr>
      <w:r>
        <w:rPr>
          <w:rFonts w:eastAsia="楷体_GB2312"/>
          <w:b/>
          <w:bCs/>
          <w:color w:val="000000"/>
          <w:kern w:val="0"/>
          <w:szCs w:val="32"/>
          <w:shd w:val="clear" w:color="auto" w:fill="FFFFFF"/>
          <w:lang w:val="zh-CN"/>
        </w:rPr>
        <w:t>（一）</w:t>
      </w:r>
      <w:r>
        <w:rPr>
          <w:rFonts w:hint="eastAsia" w:eastAsia="楷体_GB2312"/>
          <w:b/>
          <w:bCs/>
          <w:color w:val="000000"/>
          <w:kern w:val="0"/>
          <w:szCs w:val="32"/>
          <w:shd w:val="clear" w:color="auto" w:fill="FFFFFF"/>
          <w:lang w:val="zh-CN"/>
        </w:rPr>
        <w:t>部门财政资金收入情况。</w:t>
      </w:r>
    </w:p>
    <w:p>
      <w:pPr>
        <w:spacing w:line="560" w:lineRule="exact"/>
        <w:ind w:firstLine="640" w:firstLineChars="200"/>
        <w:rPr>
          <w:rFonts w:hint="eastAsia" w:ascii="仿宋_GB2312" w:hAnsi="黑体" w:cs="黑体"/>
          <w:bCs/>
          <w:color w:val="auto"/>
          <w:szCs w:val="32"/>
        </w:rPr>
      </w:pPr>
      <w:r>
        <w:rPr>
          <w:rFonts w:hint="eastAsia" w:ascii="仿宋_GB2312" w:hAnsi="黑体" w:cs="黑体"/>
          <w:bCs/>
          <w:color w:val="auto"/>
          <w:szCs w:val="32"/>
        </w:rPr>
        <w:t>202</w:t>
      </w:r>
      <w:r>
        <w:rPr>
          <w:rFonts w:hint="eastAsia" w:ascii="仿宋_GB2312" w:hAnsi="黑体" w:cs="黑体"/>
          <w:bCs/>
          <w:color w:val="auto"/>
          <w:szCs w:val="32"/>
          <w:lang w:val="en-US" w:eastAsia="zh-CN"/>
        </w:rPr>
        <w:t>4</w:t>
      </w:r>
      <w:r>
        <w:rPr>
          <w:rFonts w:hint="eastAsia" w:ascii="仿宋_GB2312" w:hAnsi="黑体" w:cs="黑体"/>
          <w:bCs/>
          <w:color w:val="auto"/>
          <w:szCs w:val="32"/>
        </w:rPr>
        <w:t>年一般公共预算收入</w:t>
      </w:r>
      <w:r>
        <w:rPr>
          <w:rFonts w:hint="eastAsia" w:ascii="仿宋_GB2312" w:hAnsi="黑体" w:cs="黑体"/>
          <w:bCs/>
          <w:color w:val="auto"/>
          <w:szCs w:val="32"/>
          <w:lang w:val="en-US" w:eastAsia="zh-CN"/>
        </w:rPr>
        <w:t>222.9</w:t>
      </w:r>
      <w:r>
        <w:rPr>
          <w:rFonts w:hint="eastAsia" w:ascii="仿宋_GB2312" w:hAnsi="黑体" w:cs="黑体"/>
          <w:bCs/>
          <w:color w:val="auto"/>
          <w:szCs w:val="32"/>
        </w:rPr>
        <w:t>万元，年初结转结余</w:t>
      </w:r>
      <w:r>
        <w:rPr>
          <w:rFonts w:hint="eastAsia" w:ascii="仿宋_GB2312" w:hAnsi="黑体" w:cs="黑体"/>
          <w:bCs/>
          <w:color w:val="auto"/>
          <w:szCs w:val="32"/>
          <w:lang w:val="en-US" w:eastAsia="zh-CN"/>
        </w:rPr>
        <w:t>0</w:t>
      </w:r>
      <w:r>
        <w:rPr>
          <w:rFonts w:hint="eastAsia" w:ascii="仿宋_GB2312" w:hAnsi="黑体" w:cs="黑体"/>
          <w:bCs/>
          <w:color w:val="auto"/>
          <w:szCs w:val="32"/>
        </w:rPr>
        <w:t>万元，共计</w:t>
      </w:r>
      <w:r>
        <w:rPr>
          <w:rFonts w:hint="eastAsia" w:ascii="仿宋_GB2312" w:hAnsi="黑体" w:cs="黑体"/>
          <w:bCs/>
          <w:color w:val="auto"/>
          <w:szCs w:val="32"/>
          <w:lang w:val="en-US" w:eastAsia="zh-CN"/>
        </w:rPr>
        <w:t>222.9</w:t>
      </w:r>
      <w:r>
        <w:rPr>
          <w:rFonts w:hint="eastAsia" w:ascii="仿宋_GB2312" w:hAnsi="黑体" w:cs="黑体"/>
          <w:bCs/>
          <w:color w:val="auto"/>
          <w:szCs w:val="32"/>
        </w:rPr>
        <w:t>万元。其中基本收入</w:t>
      </w:r>
      <w:r>
        <w:rPr>
          <w:rFonts w:hint="eastAsia" w:ascii="仿宋_GB2312" w:hAnsi="黑体" w:cs="黑体"/>
          <w:bCs/>
          <w:color w:val="auto"/>
          <w:szCs w:val="32"/>
          <w:lang w:val="en-US" w:eastAsia="zh-CN"/>
        </w:rPr>
        <w:t>191.6</w:t>
      </w:r>
      <w:r>
        <w:rPr>
          <w:rFonts w:hint="eastAsia" w:ascii="仿宋_GB2312" w:hAnsi="黑体" w:cs="黑体"/>
          <w:bCs/>
          <w:color w:val="auto"/>
          <w:szCs w:val="32"/>
        </w:rPr>
        <w:t>万元，项目收入</w:t>
      </w:r>
      <w:r>
        <w:rPr>
          <w:rFonts w:hint="eastAsia" w:ascii="仿宋_GB2312" w:hAnsi="黑体" w:cs="黑体"/>
          <w:bCs/>
          <w:color w:val="auto"/>
          <w:szCs w:val="32"/>
          <w:lang w:val="en-US" w:eastAsia="zh-CN"/>
        </w:rPr>
        <w:t>31.74</w:t>
      </w:r>
      <w:r>
        <w:rPr>
          <w:rFonts w:hint="eastAsia" w:ascii="仿宋_GB2312" w:hAnsi="黑体" w:cs="黑体"/>
          <w:bCs/>
          <w:color w:val="auto"/>
          <w:szCs w:val="32"/>
        </w:rPr>
        <w:t>万元。主要用于202</w:t>
      </w:r>
      <w:r>
        <w:rPr>
          <w:rFonts w:hint="eastAsia" w:ascii="仿宋_GB2312" w:hAnsi="黑体" w:cs="黑体"/>
          <w:bCs/>
          <w:color w:val="auto"/>
          <w:szCs w:val="32"/>
          <w:lang w:val="en-US" w:eastAsia="zh-CN"/>
        </w:rPr>
        <w:t>4</w:t>
      </w:r>
      <w:r>
        <w:rPr>
          <w:rFonts w:hint="eastAsia" w:ascii="仿宋_GB2312" w:hAnsi="黑体" w:cs="黑体"/>
          <w:bCs/>
          <w:color w:val="auto"/>
          <w:szCs w:val="32"/>
        </w:rPr>
        <w:t>年</w:t>
      </w:r>
      <w:r>
        <w:rPr>
          <w:rFonts w:hint="eastAsia" w:ascii="仿宋_GB2312" w:hAnsi="黑体" w:cs="黑体"/>
          <w:bCs/>
          <w:color w:val="auto"/>
          <w:szCs w:val="32"/>
          <w:lang w:eastAsia="zh-CN"/>
        </w:rPr>
        <w:t>史志编纂</w:t>
      </w:r>
      <w:r>
        <w:rPr>
          <w:rFonts w:hint="eastAsia" w:ascii="仿宋_GB2312" w:hAnsi="黑体" w:cs="黑体"/>
          <w:bCs/>
          <w:color w:val="auto"/>
          <w:szCs w:val="32"/>
        </w:rPr>
        <w:t>中心职工日常人员经费、公用经费等支出，切实保证中心的正常运转。</w:t>
      </w:r>
    </w:p>
    <w:p>
      <w:pPr>
        <w:spacing w:line="560" w:lineRule="exact"/>
        <w:ind w:firstLine="640" w:firstLineChars="200"/>
        <w:rPr>
          <w:rFonts w:hint="eastAsia" w:ascii="仿宋_GB2312" w:hAnsi="黑体" w:cs="黑体"/>
          <w:bCs/>
          <w:szCs w:val="32"/>
        </w:rPr>
      </w:pPr>
      <w:r>
        <w:rPr>
          <w:rFonts w:ascii="仿宋_GB2312" w:hAnsi="黑体" w:cs="黑体"/>
          <w:bCs/>
          <w:szCs w:val="32"/>
        </w:rPr>
        <w:t>20</w:t>
      </w:r>
      <w:r>
        <w:rPr>
          <w:rFonts w:hint="eastAsia" w:ascii="仿宋_GB2312" w:hAnsi="黑体" w:cs="黑体"/>
          <w:bCs/>
          <w:szCs w:val="32"/>
        </w:rPr>
        <w:t>2</w:t>
      </w:r>
      <w:r>
        <w:rPr>
          <w:rFonts w:hint="eastAsia" w:ascii="仿宋_GB2312" w:hAnsi="黑体" w:cs="黑体"/>
          <w:bCs/>
          <w:szCs w:val="32"/>
          <w:lang w:val="en-US" w:eastAsia="zh-CN"/>
        </w:rPr>
        <w:t>4</w:t>
      </w:r>
      <w:r>
        <w:rPr>
          <w:rFonts w:hint="eastAsia" w:ascii="仿宋_GB2312" w:hAnsi="黑体" w:cs="黑体"/>
          <w:bCs/>
          <w:szCs w:val="32"/>
        </w:rPr>
        <w:t>年政府采购未安排公务用车购置预算。</w:t>
      </w:r>
    </w:p>
    <w:p>
      <w:pPr>
        <w:widowControl/>
        <w:adjustRightInd w:val="0"/>
        <w:snapToGrid w:val="0"/>
        <w:spacing w:line="578" w:lineRule="exact"/>
        <w:ind w:firstLine="803" w:firstLineChars="250"/>
        <w:contextualSpacing/>
        <w:jc w:val="left"/>
        <w:rPr>
          <w:rFonts w:hint="eastAsia"/>
          <w:szCs w:val="32"/>
        </w:rPr>
      </w:pP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二</w:t>
      </w: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部门财政资金支出情况。</w:t>
      </w:r>
    </w:p>
    <w:p>
      <w:pPr>
        <w:spacing w:line="560" w:lineRule="exact"/>
        <w:ind w:firstLine="640" w:firstLineChars="200"/>
        <w:rPr>
          <w:rFonts w:hint="eastAsia" w:ascii="仿宋_GB2312" w:hAnsi="黑体" w:eastAsia="仿宋_GB2312" w:cs="黑体"/>
          <w:bCs/>
          <w:szCs w:val="32"/>
          <w:lang w:eastAsia="zh-CN"/>
        </w:rPr>
      </w:pPr>
      <w:r>
        <w:rPr>
          <w:rFonts w:hint="eastAsia" w:ascii="仿宋_GB2312" w:hAnsi="黑体" w:cs="黑体"/>
          <w:bCs/>
          <w:szCs w:val="32"/>
        </w:rPr>
        <w:t>202</w:t>
      </w:r>
      <w:r>
        <w:rPr>
          <w:rFonts w:hint="eastAsia" w:ascii="仿宋_GB2312" w:hAnsi="黑体" w:cs="黑体"/>
          <w:bCs/>
          <w:szCs w:val="32"/>
          <w:lang w:val="en-US" w:eastAsia="zh-CN"/>
        </w:rPr>
        <w:t>4</w:t>
      </w:r>
      <w:r>
        <w:rPr>
          <w:rFonts w:hint="eastAsia" w:ascii="仿宋_GB2312" w:hAnsi="黑体" w:cs="黑体"/>
          <w:bCs/>
          <w:szCs w:val="32"/>
        </w:rPr>
        <w:t>年实际支出</w:t>
      </w:r>
      <w:r>
        <w:rPr>
          <w:rFonts w:hint="eastAsia" w:ascii="仿宋_GB2312" w:hAnsi="黑体" w:cs="黑体"/>
          <w:bCs/>
          <w:szCs w:val="32"/>
          <w:lang w:val="en-US" w:eastAsia="zh-CN"/>
        </w:rPr>
        <w:t>222.9</w:t>
      </w:r>
      <w:r>
        <w:rPr>
          <w:rFonts w:hint="eastAsia" w:ascii="仿宋_GB2312" w:hAnsi="黑体" w:cs="黑体"/>
          <w:bCs/>
          <w:szCs w:val="32"/>
        </w:rPr>
        <w:t>万元。 按资金来源分析：其中财政拨款支出</w:t>
      </w:r>
      <w:r>
        <w:rPr>
          <w:rFonts w:hint="eastAsia" w:ascii="仿宋_GB2312" w:hAnsi="黑体" w:cs="黑体"/>
          <w:bCs/>
          <w:szCs w:val="32"/>
          <w:lang w:val="en-US" w:eastAsia="zh-CN"/>
        </w:rPr>
        <w:t>222.9</w:t>
      </w:r>
      <w:r>
        <w:rPr>
          <w:rFonts w:hint="eastAsia" w:ascii="仿宋_GB2312" w:hAnsi="黑体" w:cs="黑体"/>
          <w:bCs/>
          <w:szCs w:val="32"/>
        </w:rPr>
        <w:t>万元，占本年总支出的100%。按支出性质分析：基本支出</w:t>
      </w:r>
      <w:r>
        <w:rPr>
          <w:rFonts w:hint="eastAsia" w:ascii="仿宋_GB2312" w:hAnsi="黑体" w:cs="黑体"/>
          <w:bCs/>
          <w:szCs w:val="32"/>
          <w:lang w:val="en-US" w:eastAsia="zh-CN"/>
        </w:rPr>
        <w:t>191.16</w:t>
      </w:r>
      <w:r>
        <w:rPr>
          <w:rFonts w:hint="eastAsia" w:ascii="仿宋_GB2312" w:hAnsi="黑体" w:cs="黑体"/>
          <w:bCs/>
          <w:szCs w:val="32"/>
        </w:rPr>
        <w:t>万元，占本年总支出</w:t>
      </w:r>
      <w:r>
        <w:rPr>
          <w:rFonts w:hint="eastAsia" w:ascii="仿宋_GB2312" w:hAnsi="黑体" w:cs="黑体"/>
          <w:bCs/>
          <w:szCs w:val="32"/>
          <w:lang w:val="en-US" w:eastAsia="zh-CN"/>
        </w:rPr>
        <w:t>85.76%</w:t>
      </w:r>
      <w:r>
        <w:rPr>
          <w:rFonts w:hint="eastAsia" w:ascii="仿宋_GB2312" w:hAnsi="黑体" w:cs="黑体"/>
          <w:bCs/>
          <w:szCs w:val="32"/>
        </w:rPr>
        <w:t>的；项目支出</w:t>
      </w:r>
      <w:r>
        <w:rPr>
          <w:rFonts w:hint="eastAsia" w:ascii="仿宋_GB2312" w:hAnsi="黑体" w:cs="黑体"/>
          <w:bCs/>
          <w:szCs w:val="32"/>
          <w:lang w:val="en-US" w:eastAsia="zh-CN"/>
        </w:rPr>
        <w:t>31.74</w:t>
      </w:r>
      <w:r>
        <w:rPr>
          <w:rFonts w:hint="eastAsia" w:ascii="仿宋_GB2312" w:hAnsi="黑体" w:cs="黑体"/>
          <w:bCs/>
          <w:szCs w:val="32"/>
        </w:rPr>
        <w:t>万元，占本年总支出</w:t>
      </w:r>
      <w:r>
        <w:rPr>
          <w:rFonts w:hint="eastAsia" w:ascii="仿宋_GB2312" w:hAnsi="黑体" w:cs="黑体"/>
          <w:bCs/>
          <w:szCs w:val="32"/>
          <w:lang w:val="en-US" w:eastAsia="zh-CN"/>
        </w:rPr>
        <w:t>14.24%</w:t>
      </w:r>
      <w:r>
        <w:rPr>
          <w:rFonts w:hint="eastAsia" w:ascii="仿宋_GB2312" w:hAnsi="黑体" w:cs="黑体"/>
          <w:bCs/>
          <w:szCs w:val="32"/>
        </w:rPr>
        <w:t>的</w:t>
      </w:r>
      <w:r>
        <w:rPr>
          <w:rFonts w:hint="eastAsia" w:ascii="仿宋_GB2312" w:hAnsi="黑体" w:cs="黑体"/>
          <w:bCs/>
          <w:szCs w:val="32"/>
          <w:lang w:eastAsia="zh-CN"/>
        </w:rPr>
        <w:t>。</w:t>
      </w:r>
      <w:r>
        <w:rPr>
          <w:rFonts w:hint="eastAsia" w:ascii="仿宋_GB2312" w:hAnsi="黑体" w:cs="黑体"/>
          <w:bCs/>
          <w:szCs w:val="32"/>
        </w:rPr>
        <w:t>按支出经济分类分析：其中工资福利支出</w:t>
      </w:r>
      <w:r>
        <w:rPr>
          <w:rFonts w:hint="eastAsia" w:ascii="仿宋_GB2312" w:hAnsi="黑体" w:cs="黑体"/>
          <w:bCs/>
          <w:szCs w:val="32"/>
          <w:lang w:val="en-US" w:eastAsia="zh-CN"/>
        </w:rPr>
        <w:t>169.84</w:t>
      </w:r>
      <w:r>
        <w:rPr>
          <w:rFonts w:hint="eastAsia" w:ascii="仿宋_GB2312" w:hAnsi="黑体" w:cs="黑体"/>
          <w:bCs/>
          <w:szCs w:val="32"/>
        </w:rPr>
        <w:t>万元，占本年总支出</w:t>
      </w:r>
      <w:r>
        <w:rPr>
          <w:rFonts w:hint="eastAsia" w:ascii="仿宋_GB2312" w:hAnsi="黑体" w:cs="黑体"/>
          <w:bCs/>
          <w:szCs w:val="32"/>
          <w:lang w:val="en-US" w:eastAsia="zh-CN"/>
        </w:rPr>
        <w:t>76.2%</w:t>
      </w:r>
      <w:r>
        <w:rPr>
          <w:rFonts w:hint="eastAsia" w:ascii="仿宋_GB2312" w:hAnsi="黑体" w:cs="黑体"/>
          <w:bCs/>
          <w:szCs w:val="32"/>
        </w:rPr>
        <w:t>的；商品和服务支出</w:t>
      </w:r>
      <w:r>
        <w:rPr>
          <w:rFonts w:hint="eastAsia" w:ascii="仿宋_GB2312" w:hAnsi="黑体" w:cs="黑体"/>
          <w:bCs/>
          <w:szCs w:val="32"/>
          <w:lang w:val="en-US" w:eastAsia="zh-CN"/>
        </w:rPr>
        <w:t>42.79</w:t>
      </w:r>
      <w:r>
        <w:rPr>
          <w:rFonts w:hint="eastAsia" w:ascii="仿宋_GB2312" w:hAnsi="黑体" w:cs="黑体"/>
          <w:bCs/>
          <w:szCs w:val="32"/>
        </w:rPr>
        <w:t>万元，占本年总支出</w:t>
      </w:r>
      <w:r>
        <w:rPr>
          <w:rFonts w:hint="eastAsia" w:ascii="仿宋_GB2312" w:hAnsi="黑体" w:cs="黑体"/>
          <w:bCs/>
          <w:szCs w:val="32"/>
          <w:lang w:val="en-US" w:eastAsia="zh-CN"/>
        </w:rPr>
        <w:t>21.21</w:t>
      </w:r>
      <w:r>
        <w:rPr>
          <w:rFonts w:hint="eastAsia" w:ascii="仿宋_GB2312" w:hAnsi="黑体" w:cs="黑体"/>
          <w:bCs/>
          <w:szCs w:val="32"/>
        </w:rPr>
        <w:t>的；对个人和家庭的补助支出</w:t>
      </w:r>
      <w:r>
        <w:rPr>
          <w:rFonts w:hint="eastAsia" w:ascii="仿宋_GB2312" w:hAnsi="黑体" w:cs="黑体"/>
          <w:bCs/>
          <w:szCs w:val="32"/>
          <w:lang w:val="en-US" w:eastAsia="zh-CN"/>
        </w:rPr>
        <w:t>5.77</w:t>
      </w:r>
      <w:r>
        <w:rPr>
          <w:rFonts w:hint="eastAsia" w:ascii="仿宋_GB2312" w:hAnsi="黑体" w:cs="黑体"/>
          <w:bCs/>
          <w:szCs w:val="32"/>
        </w:rPr>
        <w:t>万元，占本年总支出</w:t>
      </w:r>
      <w:r>
        <w:rPr>
          <w:rFonts w:hint="eastAsia" w:ascii="仿宋_GB2312" w:hAnsi="黑体" w:cs="黑体"/>
          <w:bCs/>
          <w:szCs w:val="32"/>
          <w:lang w:val="en-US" w:eastAsia="zh-CN"/>
        </w:rPr>
        <w:t>2.59%</w:t>
      </w:r>
      <w:r>
        <w:rPr>
          <w:rFonts w:hint="eastAsia" w:ascii="仿宋_GB2312" w:hAnsi="黑体" w:cs="黑体"/>
          <w:bCs/>
          <w:szCs w:val="32"/>
        </w:rPr>
        <w:t>的</w:t>
      </w:r>
      <w:r>
        <w:rPr>
          <w:rFonts w:hint="eastAsia" w:ascii="仿宋_GB2312" w:hAnsi="黑体" w:cs="黑体"/>
          <w:bCs/>
          <w:szCs w:val="32"/>
          <w:lang w:eastAsia="zh-CN"/>
        </w:rPr>
        <w:t>。</w:t>
      </w:r>
    </w:p>
    <w:p>
      <w:pPr>
        <w:widowControl/>
        <w:adjustRightInd w:val="0"/>
        <w:snapToGrid w:val="0"/>
        <w:spacing w:line="578" w:lineRule="exact"/>
        <w:ind w:firstLine="481" w:firstLineChars="150"/>
        <w:contextualSpacing/>
        <w:jc w:val="left"/>
        <w:rPr>
          <w:rFonts w:hint="eastAsia"/>
          <w:szCs w:val="32"/>
        </w:rPr>
      </w:pP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三</w:t>
      </w:r>
      <w:r>
        <w:rPr>
          <w:rFonts w:eastAsia="楷体_GB2312"/>
          <w:b/>
          <w:bCs/>
          <w:color w:val="000000"/>
          <w:kern w:val="0"/>
          <w:szCs w:val="32"/>
          <w:shd w:val="clear" w:color="auto" w:fill="FFFFFF"/>
          <w:lang w:val="zh-CN"/>
        </w:rPr>
        <w:t>）</w:t>
      </w:r>
      <w:r>
        <w:rPr>
          <w:rFonts w:eastAsia="楷体_GB2312"/>
          <w:b/>
          <w:szCs w:val="32"/>
        </w:rPr>
        <w:t>结余分配和结转结余情况</w:t>
      </w:r>
      <w:r>
        <w:rPr>
          <w:rFonts w:hint="eastAsia" w:eastAsia="楷体_GB2312"/>
          <w:b/>
          <w:szCs w:val="32"/>
        </w:rPr>
        <w:t>。</w:t>
      </w:r>
    </w:p>
    <w:p>
      <w:pPr>
        <w:spacing w:line="560" w:lineRule="exact"/>
        <w:ind w:firstLine="640" w:firstLineChars="200"/>
        <w:rPr>
          <w:rFonts w:hint="eastAsia" w:ascii="仿宋_GB2312" w:hAnsi="黑体" w:cs="黑体"/>
          <w:bCs/>
          <w:szCs w:val="32"/>
        </w:rPr>
      </w:pPr>
      <w:r>
        <w:rPr>
          <w:rFonts w:hint="eastAsia" w:ascii="仿宋_GB2312" w:hAnsi="黑体" w:cs="黑体"/>
          <w:bCs/>
          <w:szCs w:val="32"/>
        </w:rPr>
        <w:t>202</w:t>
      </w:r>
      <w:r>
        <w:rPr>
          <w:rFonts w:hint="eastAsia" w:ascii="仿宋_GB2312" w:hAnsi="黑体" w:cs="黑体"/>
          <w:bCs/>
          <w:szCs w:val="32"/>
          <w:lang w:val="en-US" w:eastAsia="zh-CN"/>
        </w:rPr>
        <w:t>4</w:t>
      </w:r>
      <w:r>
        <w:rPr>
          <w:rFonts w:hint="eastAsia" w:ascii="仿宋_GB2312" w:hAnsi="黑体" w:cs="黑体"/>
          <w:bCs/>
          <w:szCs w:val="32"/>
        </w:rPr>
        <w:t>年年末无财政应返还额度。</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contextualSpacing/>
        <w:jc w:val="left"/>
        <w:textAlignment w:val="auto"/>
        <w:outlineLvl w:val="9"/>
        <w:rPr>
          <w:rFonts w:eastAsia="黑体"/>
          <w:color w:val="000000" w:themeColor="text1"/>
          <w:kern w:val="0"/>
          <w:szCs w:val="32"/>
          <w:shd w:val="clear" w:color="auto" w:fill="FFFFFF"/>
          <w14:textFill>
            <w14:solidFill>
              <w14:schemeClr w14:val="tx1"/>
            </w14:solidFill>
          </w14:textFill>
        </w:rPr>
      </w:pPr>
      <w:r>
        <w:rPr>
          <w:rFonts w:eastAsia="黑体"/>
          <w:color w:val="000000"/>
          <w:kern w:val="0"/>
          <w:szCs w:val="32"/>
          <w:shd w:val="clear" w:color="auto" w:fill="FFFFFF"/>
        </w:rPr>
        <w:t>三、</w:t>
      </w:r>
      <w:r>
        <w:rPr>
          <w:rFonts w:hint="default" w:ascii="Times New Roman" w:hAnsi="Times New Roman" w:eastAsia="黑体" w:cs="Times New Roman"/>
          <w:color w:val="000000"/>
          <w:kern w:val="0"/>
          <w:szCs w:val="32"/>
          <w:highlight w:val="none"/>
          <w:u w:val="none"/>
          <w:shd w:val="clear" w:color="auto" w:fill="FFFFFF"/>
        </w:rPr>
        <w:t>部门</w:t>
      </w:r>
      <w:r>
        <w:rPr>
          <w:rFonts w:hint="default" w:ascii="Times New Roman" w:hAnsi="Times New Roman" w:eastAsia="黑体" w:cs="Times New Roman"/>
          <w:color w:val="000000"/>
          <w:kern w:val="0"/>
          <w:szCs w:val="32"/>
          <w:highlight w:val="none"/>
          <w:u w:val="none"/>
          <w:shd w:val="clear" w:color="auto" w:fill="FFFFFF"/>
          <w:lang w:eastAsia="zh-CN"/>
        </w:rPr>
        <w:t>预算</w:t>
      </w:r>
      <w:r>
        <w:rPr>
          <w:rFonts w:hint="default" w:ascii="Times New Roman" w:hAnsi="Times New Roman" w:eastAsia="黑体" w:cs="Times New Roman"/>
          <w:color w:val="000000"/>
          <w:kern w:val="0"/>
          <w:szCs w:val="32"/>
          <w:highlight w:val="none"/>
          <w:u w:val="none"/>
          <w:shd w:val="clear" w:color="auto" w:fill="FFFFFF"/>
        </w:rPr>
        <w:t>绩效</w:t>
      </w:r>
      <w:r>
        <w:rPr>
          <w:rFonts w:hint="default" w:ascii="Times New Roman" w:hAnsi="Times New Roman" w:eastAsia="黑体" w:cs="Times New Roman"/>
          <w:color w:val="000000"/>
          <w:kern w:val="0"/>
          <w:szCs w:val="32"/>
          <w:highlight w:val="none"/>
          <w:u w:val="none"/>
          <w:shd w:val="clear" w:color="auto" w:fill="FFFFFF"/>
          <w:lang w:eastAsia="zh-CN"/>
        </w:rPr>
        <w:t>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560" w:lineRule="exact"/>
        <w:ind w:firstLine="642" w:firstLineChars="200"/>
        <w:contextualSpacing/>
        <w:jc w:val="left"/>
        <w:textAlignment w:val="auto"/>
        <w:outlineLvl w:val="9"/>
        <w:rPr>
          <w:rFonts w:ascii="仿宋_GB2312" w:hAnsi="仿宋" w:eastAsia="仿宋_GB2312" w:cs="仿宋_GB2312"/>
          <w:sz w:val="32"/>
          <w:szCs w:val="32"/>
        </w:rPr>
      </w:pPr>
      <w:r>
        <w:rPr>
          <w:rFonts w:hint="default" w:ascii="Times New Roman" w:hAnsi="Times New Roman" w:eastAsia="楷体_GB2312" w:cs="Times New Roman"/>
          <w:b/>
          <w:bCs/>
          <w:color w:val="000000"/>
          <w:kern w:val="0"/>
          <w:szCs w:val="32"/>
          <w:highlight w:val="none"/>
          <w:shd w:val="clear" w:color="auto" w:fill="FFFFFF"/>
          <w:lang w:val="zh-CN"/>
        </w:rPr>
        <w:t>（一）</w:t>
      </w:r>
      <w:r>
        <w:rPr>
          <w:rFonts w:hint="eastAsia" w:eastAsia="楷体_GB2312" w:cs="Times New Roman"/>
          <w:b/>
          <w:bCs/>
          <w:color w:val="000000"/>
          <w:kern w:val="0"/>
          <w:szCs w:val="32"/>
          <w:highlight w:val="none"/>
          <w:shd w:val="clear" w:color="auto" w:fill="FFFFFF"/>
          <w:lang w:val="zh-CN"/>
        </w:rPr>
        <w:t>部门预算</w:t>
      </w:r>
      <w:r>
        <w:rPr>
          <w:rFonts w:hint="default" w:ascii="Times New Roman" w:hAnsi="Times New Roman" w:eastAsia="楷体_GB2312" w:cs="Times New Roman"/>
          <w:b/>
          <w:bCs/>
          <w:color w:val="000000"/>
          <w:kern w:val="0"/>
          <w:szCs w:val="32"/>
          <w:highlight w:val="none"/>
          <w:shd w:val="clear" w:color="auto" w:fill="FFFFFF"/>
          <w:lang w:val="zh-CN"/>
        </w:rPr>
        <w:t>总体绩效分析。</w:t>
      </w:r>
    </w:p>
    <w:p>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firstLine="642"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1.</w:t>
      </w:r>
      <w:r>
        <w:rPr>
          <w:rFonts w:hint="eastAsia" w:ascii="楷体_GB2312" w:hAnsi="楷体_GB2312" w:eastAsia="楷体_GB2312" w:cs="楷体_GB2312"/>
          <w:b/>
          <w:bCs/>
          <w:kern w:val="2"/>
          <w:sz w:val="32"/>
          <w:szCs w:val="32"/>
          <w:lang w:val="zh-CN" w:eastAsia="zh-CN" w:bidi="ar-SA"/>
        </w:rPr>
        <w:t>履职效能</w:t>
      </w:r>
      <w:r>
        <w:rPr>
          <w:rFonts w:hint="eastAsia" w:ascii="楷体_GB2312" w:hAnsi="楷体_GB2312" w:eastAsia="楷体_GB2312" w:cs="楷体_GB2312"/>
          <w:b/>
          <w:bCs/>
          <w:kern w:val="2"/>
          <w:sz w:val="32"/>
          <w:szCs w:val="32"/>
          <w:lang w:val="en-US" w:eastAsia="zh-CN" w:bidi="ar-SA"/>
        </w:rPr>
        <w:t xml:space="preserve"> </w:t>
      </w:r>
      <w:r>
        <w:rPr>
          <w:rFonts w:hint="eastAsia" w:ascii="仿宋_GB2312" w:hAnsi="仿宋_GB2312" w:eastAsia="仿宋_GB2312" w:cs="仿宋_GB2312"/>
          <w:sz w:val="32"/>
          <w:szCs w:val="32"/>
          <w:lang w:val="en-US" w:eastAsia="zh-CN"/>
        </w:rPr>
        <w:t>一是地方志工作:完成《黑水年鉴2024》编纂出版工作；</w:t>
      </w:r>
      <w:r>
        <w:rPr>
          <w:rFonts w:hint="eastAsia" w:ascii="仿宋_GB2312" w:hAnsi="仿宋_GB2312" w:eastAsia="仿宋_GB2312" w:cs="仿宋_GB2312"/>
          <w:kern w:val="2"/>
          <w:sz w:val="32"/>
          <w:szCs w:val="32"/>
          <w:lang w:val="en-US" w:eastAsia="zh-CN" w:bidi="ar-SA"/>
        </w:rPr>
        <w:t>按期按量编纂上报微信公众号“志中阿坝”文稿13期地情特色文化稿件，1部口述历史纪录片，“微黑水”1期地情调研文稿，“方志四川”1期经验交流文稿；深入开展“史志七进”，加强地方阵地建设，已建成省、州、县共建阅览室5个，各类教育基地阅览墙3处。联合县教体局开展“童心悟志 青春励志”活动，黑水县3名学生，2名教师及县教体局获得州级表彰。为机关、乡镇、社区、企业、军营、学校和对口帮扶村赠送《中国共产党黑水县执政实录》《黑水县年鉴》等史志书刊500余册；完成芦花镇、沙石多镇、知木林镇3镇5村志书编写，完成2024年木苏镇、维古乡2乡（镇）3村的乡镇村志编纂排版工作；启动《黑水扶贫志》编纂前期工作，完成编写大纲；组织全县相关部门参加全州扶贫志编纂工作视频会，各乡镇、单位落实2名编写联络人员，同时由分管副县长对扶贫志工作进行安排部署；深入全县扶贫工作重点单位指导扶贫志资料收集，查阅扫描档案资料10000余份，走访20余名上世纪七八十年代以来的亲历者见证者，完成第一轮资料收集工作。二是党史工作：完成《中国共产党黑水县执政实录2023》编纂工作；口述历史纪录片《碉楼记忆》进入后期制作，持续推进开展口述历史“七进”活动，巩固口述历史进学校、进军营成果；运用党报党刊、文学作品、革命遗址等做好党史学习教育工作；</w:t>
      </w:r>
    </w:p>
    <w:p>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完成瓦钵红军村建设项目审核工作，配合开展长征国家文化公园黑水段建设相关工作，完成红军长征在黑水史实及红色故事挖掘整理并常态推进；启动党史书籍赠阅活动，赠送书籍已达300余册；成功创建芦花会议会址为全州党史教育基地，及时挂牌发挥“主阵地”作用，同时成功申报全省党史教育基地巡展；围绕“芦花会议”“军民团结”“熬盐筹粮”等重大主题深挖红色史实，创作并在省州县媒体平台推出短视频2篇；在全省党史工作会议上，被中共四川省委党史研究室评为全省红色遗址普查工作先进单位；拍摄短视频《雪山红谷情—熬盐筹粮》参与中共四川省委党史研究室关于“精神的力量--中国共产党人精神谱系中的四川印记”主题短视频展播活动评选，荣获省优秀奖。</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560" w:lineRule="exact"/>
        <w:ind w:firstLine="642" w:firstLineChars="200"/>
        <w:contextualSpacing/>
        <w:jc w:val="left"/>
        <w:textAlignment w:val="auto"/>
        <w:outlineLvl w:val="9"/>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2.</w:t>
      </w:r>
      <w:r>
        <w:rPr>
          <w:rFonts w:hint="default" w:ascii="楷体_GB2312" w:hAnsi="楷体_GB2312" w:eastAsia="楷体_GB2312" w:cs="楷体_GB2312"/>
          <w:b/>
          <w:bCs/>
          <w:sz w:val="32"/>
          <w:szCs w:val="32"/>
          <w:lang w:val="zh-CN" w:eastAsia="zh-CN"/>
        </w:rPr>
        <w:t>预算管理</w:t>
      </w:r>
      <w:r>
        <w:rPr>
          <w:rFonts w:hint="eastAsia" w:ascii="楷体_GB2312" w:hAnsi="楷体_GB2312" w:eastAsia="楷体_GB2312" w:cs="楷体_GB2312"/>
          <w:b/>
          <w:bCs/>
          <w:sz w:val="32"/>
          <w:szCs w:val="32"/>
          <w:lang w:val="zh-CN" w:eastAsia="zh-CN"/>
        </w:rPr>
        <w:t>。</w:t>
      </w:r>
      <w:r>
        <w:rPr>
          <w:rFonts w:hint="eastAsia" w:ascii="仿宋_GB2312" w:hAnsi="仿宋_GB2312" w:eastAsia="仿宋_GB2312" w:cs="仿宋_GB2312"/>
          <w:sz w:val="32"/>
          <w:szCs w:val="32"/>
          <w:lang w:val="zh-CN" w:eastAsia="zh-CN"/>
        </w:rPr>
        <w:t>一是预算编制质量：</w:t>
      </w:r>
      <w:r>
        <w:rPr>
          <w:rFonts w:hint="eastAsia" w:ascii="仿宋_GB2312" w:hAnsi="仿宋_GB2312" w:eastAsia="仿宋_GB2312" w:cs="仿宋_GB2312"/>
          <w:sz w:val="32"/>
          <w:szCs w:val="32"/>
          <w:lang w:val="en-US" w:eastAsia="zh-CN"/>
        </w:rPr>
        <w:t>部门预算编制目标制定清晰，部门整体绩效目标编制完整、合理部门整体绩效目标能完整、合理反映部门年度职责履行情况，项目绩效目标编制明确，并通过了预算草案审查，审查后未提出确需修改的问题，自评得分8分；二是单位收入统筹：单位全年收入均属财政拨款收入，纳入预算管理，结息收入按规定上缴财政，自评得分4分；三是支出执行进度：我中心及时支付资金，自评得分4分。四是预算年终结余：年末结余为零，收支平衡，自评得分4分；五是严控一般性支出：202</w:t>
      </w:r>
      <w:r>
        <w:rPr>
          <w:rFonts w:hint="eastAsia" w:ascii="仿宋_GB2312" w:hAnsi="仿宋_GB2312" w:cs="仿宋_GB2312"/>
          <w:sz w:val="32"/>
          <w:szCs w:val="32"/>
          <w:lang w:val="en-US" w:eastAsia="zh-CN"/>
        </w:rPr>
        <w:t>4</w:t>
      </w:r>
      <w:r>
        <w:rPr>
          <w:rFonts w:hint="eastAsia" w:ascii="仿宋_GB2312" w:hAnsi="仿宋_GB2312" w:eastAsia="仿宋_GB2312" w:cs="仿宋_GB2312"/>
          <w:sz w:val="32"/>
          <w:szCs w:val="32"/>
          <w:lang w:val="en-US" w:eastAsia="zh-CN"/>
        </w:rPr>
        <w:t>年部门厉行节约，一般性支出办公费、会议费、差旅费、培训费、“三公”</w:t>
      </w:r>
      <w:r>
        <w:rPr>
          <w:rFonts w:hint="eastAsia" w:ascii="仿宋_GB2312" w:hAnsi="仿宋_GB2312" w:cs="仿宋_GB2312"/>
          <w:sz w:val="32"/>
          <w:szCs w:val="32"/>
          <w:lang w:val="en-US" w:eastAsia="zh-CN"/>
        </w:rPr>
        <w:t>经费</w:t>
      </w:r>
      <w:r>
        <w:rPr>
          <w:rFonts w:hint="eastAsia" w:ascii="仿宋_GB2312" w:hAnsi="仿宋_GB2312" w:eastAsia="仿宋_GB2312" w:cs="仿宋_GB2312"/>
          <w:sz w:val="32"/>
          <w:szCs w:val="32"/>
          <w:lang w:val="en-US" w:eastAsia="zh-CN"/>
        </w:rPr>
        <w:t>等支出决算数高于202</w:t>
      </w:r>
      <w:r>
        <w:rPr>
          <w:rFonts w:hint="eastAsia" w:ascii="仿宋_GB2312" w:hAnsi="仿宋_GB2312" w:cs="仿宋_GB2312"/>
          <w:sz w:val="32"/>
          <w:szCs w:val="32"/>
          <w:lang w:val="en-US" w:eastAsia="zh-CN"/>
        </w:rPr>
        <w:t>3</w:t>
      </w:r>
      <w:r>
        <w:rPr>
          <w:rFonts w:hint="eastAsia" w:ascii="仿宋_GB2312" w:hAnsi="仿宋_GB2312" w:eastAsia="仿宋_GB2312" w:cs="仿宋_GB2312"/>
          <w:sz w:val="32"/>
          <w:szCs w:val="32"/>
          <w:lang w:val="en-US" w:eastAsia="zh-CN"/>
        </w:rPr>
        <w:t>年度决算数（因2023年</w:t>
      </w:r>
      <w:r>
        <w:rPr>
          <w:rFonts w:hint="eastAsia" w:ascii="仿宋_GB2312" w:hAnsi="仿宋_GB2312" w:cs="仿宋_GB2312"/>
          <w:sz w:val="32"/>
          <w:szCs w:val="32"/>
          <w:lang w:val="en-US" w:eastAsia="zh-CN"/>
        </w:rPr>
        <w:t>项目</w:t>
      </w:r>
      <w:r>
        <w:rPr>
          <w:rFonts w:hint="eastAsia" w:ascii="仿宋_GB2312" w:hAnsi="仿宋_GB2312" w:eastAsia="仿宋_GB2312" w:cs="仿宋_GB2312"/>
          <w:sz w:val="32"/>
          <w:szCs w:val="32"/>
          <w:lang w:val="en-US" w:eastAsia="zh-CN"/>
        </w:rPr>
        <w:t>增多</w:t>
      </w:r>
      <w:r>
        <w:rPr>
          <w:rFonts w:hint="eastAsia" w:ascii="仿宋_GB2312" w:hAnsi="仿宋_GB2312" w:cs="仿宋_GB2312"/>
          <w:sz w:val="32"/>
          <w:szCs w:val="32"/>
          <w:lang w:val="en-US" w:eastAsia="zh-CN"/>
        </w:rPr>
        <w:t>，人员增加</w:t>
      </w:r>
      <w:r>
        <w:rPr>
          <w:rFonts w:hint="eastAsia" w:ascii="仿宋_GB2312" w:hAnsi="仿宋_GB2312" w:eastAsia="仿宋_GB2312" w:cs="仿宋_GB2312"/>
          <w:sz w:val="32"/>
          <w:szCs w:val="32"/>
          <w:lang w:val="en-US" w:eastAsia="zh-CN"/>
        </w:rPr>
        <w:t>），自评得分5分，扣1分。预算管理总体自评得分：24分。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sz w:val="32"/>
          <w:szCs w:val="32"/>
          <w:lang w:val="zh-CN" w:eastAsia="zh-CN"/>
        </w:rPr>
      </w:pPr>
      <w:r>
        <w:rPr>
          <w:rFonts w:hint="eastAsia" w:ascii="楷体_GB2312" w:hAnsi="楷体_GB2312" w:eastAsia="楷体_GB2312" w:cs="楷体_GB2312"/>
          <w:b/>
          <w:bCs/>
          <w:sz w:val="32"/>
          <w:szCs w:val="32"/>
          <w:lang w:val="en-US" w:eastAsia="zh-CN"/>
        </w:rPr>
        <w:t>3.</w:t>
      </w:r>
      <w:r>
        <w:rPr>
          <w:rFonts w:hint="default" w:ascii="楷体_GB2312" w:hAnsi="楷体_GB2312" w:eastAsia="楷体_GB2312" w:cs="楷体_GB2312"/>
          <w:b/>
          <w:bCs/>
          <w:sz w:val="32"/>
          <w:szCs w:val="32"/>
          <w:lang w:val="zh-CN" w:eastAsia="zh-CN"/>
        </w:rPr>
        <w:t>财务管理</w:t>
      </w:r>
      <w:r>
        <w:rPr>
          <w:rFonts w:hint="eastAsia" w:ascii="楷体_GB2312" w:hAnsi="楷体_GB2312" w:eastAsia="楷体_GB2312" w:cs="楷体_GB2312"/>
          <w:b/>
          <w:bCs/>
          <w:sz w:val="32"/>
          <w:szCs w:val="32"/>
          <w:lang w:val="zh-CN" w:eastAsia="zh-CN"/>
        </w:rPr>
        <w:t>。</w:t>
      </w:r>
      <w:r>
        <w:rPr>
          <w:rFonts w:hint="eastAsia" w:ascii="仿宋_GB2312" w:hAnsi="仿宋_GB2312" w:eastAsia="仿宋_GB2312" w:cs="仿宋_GB2312"/>
          <w:sz w:val="32"/>
          <w:szCs w:val="32"/>
          <w:lang w:val="zh-CN" w:eastAsia="zh-CN"/>
        </w:rPr>
        <w:t>一是财务管理制度：</w:t>
      </w:r>
      <w:r>
        <w:rPr>
          <w:rFonts w:hint="eastAsia" w:ascii="仿宋_GB2312" w:hAnsi="仿宋_GB2312" w:eastAsia="仿宋_GB2312" w:cs="仿宋_GB2312"/>
          <w:sz w:val="32"/>
          <w:szCs w:val="32"/>
          <w:lang w:val="en-US" w:eastAsia="zh-CN"/>
        </w:rPr>
        <w:t>中心</w:t>
      </w:r>
      <w:r>
        <w:rPr>
          <w:rFonts w:hint="eastAsia" w:ascii="仿宋_GB2312" w:hAnsi="仿宋_GB2312" w:eastAsia="仿宋_GB2312" w:cs="仿宋_GB2312"/>
          <w:sz w:val="32"/>
          <w:szCs w:val="32"/>
          <w:lang w:val="zh-CN" w:eastAsia="zh-CN"/>
        </w:rPr>
        <w:t>严格规范内控制度，按照财务管理制度执行各项资金支付，自评得</w:t>
      </w:r>
      <w:r>
        <w:rPr>
          <w:rFonts w:hint="eastAsia" w:ascii="仿宋_GB2312" w:hAnsi="仿宋_GB2312" w:eastAsia="仿宋_GB2312" w:cs="仿宋_GB2312"/>
          <w:sz w:val="32"/>
          <w:szCs w:val="32"/>
          <w:lang w:val="en-US" w:eastAsia="zh-CN"/>
        </w:rPr>
        <w:t>4分；二是财务岗位设置：</w:t>
      </w:r>
      <w:r>
        <w:rPr>
          <w:rFonts w:hint="eastAsia" w:ascii="仿宋_GB2312" w:hAnsi="仿宋_GB2312" w:eastAsia="仿宋_GB2312" w:cs="仿宋_GB2312"/>
          <w:sz w:val="32"/>
          <w:szCs w:val="32"/>
          <w:lang w:val="zh-CN" w:eastAsia="zh-CN"/>
        </w:rPr>
        <w:t>财务岗位设置明确，会计出纳分设，自评得</w:t>
      </w:r>
      <w:r>
        <w:rPr>
          <w:rFonts w:hint="eastAsia" w:ascii="仿宋_GB2312" w:hAnsi="仿宋_GB2312" w:eastAsia="仿宋_GB2312" w:cs="仿宋_GB2312"/>
          <w:sz w:val="32"/>
          <w:szCs w:val="32"/>
          <w:lang w:val="en-US" w:eastAsia="zh-CN"/>
        </w:rPr>
        <w:t>2分；三是资金使用规范：</w:t>
      </w:r>
      <w:r>
        <w:rPr>
          <w:rFonts w:hint="eastAsia" w:ascii="仿宋_GB2312" w:hAnsi="仿宋_GB2312" w:eastAsia="仿宋_GB2312" w:cs="仿宋_GB2312"/>
          <w:sz w:val="32"/>
          <w:szCs w:val="32"/>
          <w:lang w:val="zh-CN" w:eastAsia="zh-CN"/>
        </w:rPr>
        <w:t>财政资金使用明确资金支付审核流程，按照内控制度严格拨付，做到规范有效，自评</w:t>
      </w:r>
      <w:r>
        <w:rPr>
          <w:rFonts w:hint="eastAsia" w:ascii="仿宋_GB2312" w:hAnsi="仿宋_GB2312" w:eastAsia="仿宋_GB2312" w:cs="仿宋_GB2312"/>
          <w:sz w:val="32"/>
          <w:szCs w:val="32"/>
          <w:lang w:val="en-US" w:eastAsia="zh-CN"/>
        </w:rPr>
        <w:t>4分。财务管理自评得分：10分。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4.</w:t>
      </w:r>
      <w:r>
        <w:rPr>
          <w:rFonts w:hint="default" w:ascii="楷体_GB2312" w:hAnsi="楷体_GB2312" w:eastAsia="楷体_GB2312" w:cs="楷体_GB2312"/>
          <w:b/>
          <w:bCs/>
          <w:sz w:val="32"/>
          <w:szCs w:val="32"/>
          <w:lang w:val="zh-CN" w:eastAsia="zh-CN"/>
        </w:rPr>
        <w:t>资产管理</w:t>
      </w:r>
      <w:r>
        <w:rPr>
          <w:rFonts w:hint="eastAsia" w:ascii="楷体_GB2312" w:hAnsi="楷体_GB2312" w:eastAsia="楷体_GB2312" w:cs="楷体_GB2312"/>
          <w:b/>
          <w:bCs/>
          <w:sz w:val="32"/>
          <w:szCs w:val="32"/>
          <w:lang w:val="zh-CN" w:eastAsia="zh-CN"/>
        </w:rPr>
        <w:t>。</w:t>
      </w:r>
      <w:r>
        <w:rPr>
          <w:rFonts w:hint="eastAsia" w:ascii="仿宋_GB2312" w:hAnsi="仿宋_GB2312" w:eastAsia="仿宋_GB2312" w:cs="仿宋_GB2312"/>
          <w:sz w:val="32"/>
          <w:szCs w:val="32"/>
          <w:lang w:val="zh-CN" w:eastAsia="zh-CN"/>
        </w:rPr>
        <w:t>一是人均资产变化率：严格按照资产管理制度执行，购买物资达到规定金额做入账登记，人均资产变化率</w:t>
      </w:r>
      <w:r>
        <w:rPr>
          <w:rFonts w:hint="eastAsia" w:ascii="仿宋_GB2312" w:hAnsi="仿宋_GB2312" w:cs="仿宋_GB2312"/>
          <w:sz w:val="32"/>
          <w:szCs w:val="32"/>
          <w:lang w:val="zh-CN" w:eastAsia="zh-CN"/>
        </w:rPr>
        <w:t>低</w:t>
      </w:r>
      <w:r>
        <w:rPr>
          <w:rFonts w:hint="eastAsia" w:ascii="仿宋_GB2312" w:hAnsi="仿宋_GB2312" w:eastAsia="仿宋_GB2312" w:cs="仿宋_GB2312"/>
          <w:sz w:val="32"/>
          <w:szCs w:val="32"/>
          <w:lang w:val="zh-CN" w:eastAsia="zh-CN"/>
        </w:rPr>
        <w:t>，自评得</w:t>
      </w:r>
      <w:r>
        <w:rPr>
          <w:rFonts w:hint="eastAsia" w:ascii="仿宋_GB2312" w:hAnsi="仿宋_GB2312" w:eastAsia="仿宋_GB2312" w:cs="仿宋_GB2312"/>
          <w:sz w:val="32"/>
          <w:szCs w:val="32"/>
          <w:lang w:val="en-US" w:eastAsia="zh-CN"/>
        </w:rPr>
        <w:t>3分；二是</w:t>
      </w:r>
      <w:r>
        <w:rPr>
          <w:rFonts w:hint="eastAsia" w:ascii="仿宋_GB2312" w:hAnsi="仿宋_GB2312" w:eastAsia="仿宋_GB2312" w:cs="仿宋_GB2312"/>
          <w:sz w:val="32"/>
          <w:szCs w:val="32"/>
          <w:lang w:val="zh-CN" w:eastAsia="zh-CN"/>
        </w:rPr>
        <w:t>资产利用率高，使用率达</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lang w:val="zh-CN" w:eastAsia="zh-CN"/>
        </w:rPr>
        <w:t>人均资产利用率较高，自评得</w:t>
      </w:r>
      <w:r>
        <w:rPr>
          <w:rFonts w:hint="eastAsia" w:ascii="仿宋_GB2312" w:hAnsi="仿宋_GB2312" w:eastAsia="仿宋_GB2312" w:cs="仿宋_GB2312"/>
          <w:sz w:val="32"/>
          <w:szCs w:val="32"/>
          <w:lang w:val="en-US" w:eastAsia="zh-CN"/>
        </w:rPr>
        <w:t>3分。三是资产管理：部门无闲置资产，</w:t>
      </w:r>
      <w:r>
        <w:rPr>
          <w:rFonts w:hint="eastAsia" w:ascii="仿宋_GB2312" w:hAnsi="仿宋_GB2312" w:eastAsia="仿宋_GB2312" w:cs="仿宋_GB2312"/>
          <w:sz w:val="32"/>
          <w:szCs w:val="32"/>
          <w:lang w:val="zh-CN" w:eastAsia="zh-CN"/>
        </w:rPr>
        <w:t>自评得</w:t>
      </w:r>
      <w:r>
        <w:rPr>
          <w:rFonts w:hint="eastAsia" w:ascii="仿宋_GB2312" w:hAnsi="仿宋_GB2312" w:eastAsia="仿宋_GB2312" w:cs="仿宋_GB2312"/>
          <w:sz w:val="32"/>
          <w:szCs w:val="32"/>
          <w:lang w:val="en-US" w:eastAsia="zh-CN"/>
        </w:rPr>
        <w:t>3分。资产管理总体得分：9分。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5.</w:t>
      </w:r>
      <w:r>
        <w:rPr>
          <w:rFonts w:hint="default" w:ascii="楷体_GB2312" w:hAnsi="楷体_GB2312" w:eastAsia="楷体_GB2312" w:cs="楷体_GB2312"/>
          <w:b/>
          <w:bCs/>
          <w:sz w:val="32"/>
          <w:szCs w:val="32"/>
          <w:lang w:val="zh-CN" w:eastAsia="zh-CN"/>
        </w:rPr>
        <w:t>采购管理</w:t>
      </w:r>
      <w:r>
        <w:rPr>
          <w:rFonts w:hint="eastAsia" w:ascii="楷体_GB2312" w:hAnsi="楷体_GB2312" w:eastAsia="楷体_GB2312" w:cs="楷体_GB2312"/>
          <w:b/>
          <w:bCs/>
          <w:sz w:val="32"/>
          <w:szCs w:val="32"/>
          <w:lang w:val="zh-CN" w:eastAsia="zh-CN"/>
        </w:rPr>
        <w:t>。</w:t>
      </w:r>
      <w:r>
        <w:rPr>
          <w:rFonts w:hint="eastAsia" w:ascii="仿宋_GB2312" w:hAnsi="仿宋_GB2312" w:eastAsia="仿宋_GB2312" w:cs="仿宋_GB2312"/>
          <w:sz w:val="32"/>
          <w:szCs w:val="32"/>
          <w:lang w:val="en-US" w:eastAsia="zh-CN"/>
        </w:rPr>
        <w:t>202</w:t>
      </w:r>
      <w:r>
        <w:rPr>
          <w:rFonts w:hint="eastAsia" w:ascii="仿宋_GB2312" w:hAnsi="仿宋_GB2312" w:cs="仿宋_GB2312"/>
          <w:sz w:val="32"/>
          <w:szCs w:val="32"/>
          <w:lang w:val="en-US" w:eastAsia="zh-CN"/>
        </w:rPr>
        <w:t>4</w:t>
      </w:r>
      <w:r>
        <w:rPr>
          <w:rFonts w:hint="eastAsia" w:ascii="仿宋_GB2312" w:hAnsi="仿宋_GB2312" w:eastAsia="仿宋_GB2312" w:cs="仿宋_GB2312"/>
          <w:sz w:val="32"/>
          <w:szCs w:val="32"/>
          <w:lang w:val="en-US" w:eastAsia="zh-CN"/>
        </w:rPr>
        <w:t>年中心</w:t>
      </w:r>
      <w:r>
        <w:rPr>
          <w:rFonts w:hint="eastAsia" w:ascii="仿宋_GB2312" w:hAnsi="仿宋_GB2312" w:cs="仿宋_GB2312"/>
          <w:sz w:val="32"/>
          <w:szCs w:val="32"/>
          <w:lang w:val="en-US" w:eastAsia="zh-CN"/>
        </w:rPr>
        <w:t>1个</w:t>
      </w:r>
      <w:r>
        <w:rPr>
          <w:rFonts w:hint="eastAsia" w:ascii="仿宋_GB2312" w:hAnsi="仿宋_GB2312" w:eastAsia="仿宋_GB2312" w:cs="仿宋_GB2312"/>
          <w:sz w:val="32"/>
          <w:szCs w:val="32"/>
          <w:lang w:val="en-US" w:eastAsia="zh-CN"/>
        </w:rPr>
        <w:t>政府采购</w:t>
      </w:r>
      <w:r>
        <w:rPr>
          <w:rFonts w:hint="eastAsia" w:ascii="仿宋_GB2312" w:hAnsi="仿宋_GB2312" w:cs="仿宋_GB2312"/>
          <w:sz w:val="32"/>
          <w:szCs w:val="32"/>
          <w:lang w:val="en-US" w:eastAsia="zh-CN"/>
        </w:rPr>
        <w:t>项目</w:t>
      </w:r>
      <w:r>
        <w:rPr>
          <w:rFonts w:hint="eastAsia" w:ascii="仿宋_GB2312" w:hAnsi="仿宋_GB2312" w:eastAsia="仿宋_GB2312" w:cs="仿宋_GB2312"/>
          <w:sz w:val="32"/>
          <w:szCs w:val="32"/>
          <w:lang w:val="en-US" w:eastAsia="zh-CN"/>
        </w:rPr>
        <w:t>，未达到政府采购的标准项目均按照融媒体中心政府采购内控制度执行，均在中小企业采购，采购执行率100%。自评得分：6分。</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2" w:firstLineChars="200"/>
        <w:contextualSpacing/>
        <w:jc w:val="left"/>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eastAsia="楷体_GB2312" w:cs="Times New Roman"/>
          <w:b/>
          <w:bCs/>
          <w:color w:val="000000"/>
          <w:kern w:val="0"/>
          <w:szCs w:val="32"/>
          <w:highlight w:val="none"/>
          <w:shd w:val="clear" w:color="auto" w:fill="FFFFFF"/>
          <w:lang w:val="zh-CN"/>
        </w:rPr>
        <w:t>（二）部门预算项目绩效分析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560" w:lineRule="exact"/>
        <w:ind w:firstLine="640" w:firstLineChars="200"/>
        <w:contextualSpacing/>
        <w:jc w:val="left"/>
        <w:textAlignment w:val="auto"/>
        <w:outlineLvl w:val="9"/>
        <w:rPr>
          <w:rFonts w:hint="default" w:cs="Times New Roman"/>
          <w:color w:val="000000"/>
          <w:kern w:val="0"/>
          <w:szCs w:val="32"/>
          <w:highlight w:val="none"/>
          <w:shd w:val="clear" w:color="auto" w:fill="FFFFFF"/>
          <w:lang w:val="zh-CN" w:eastAsia="zh-CN"/>
        </w:rPr>
      </w:pPr>
      <w:r>
        <w:rPr>
          <w:rFonts w:hint="default" w:cs="Times New Roman"/>
          <w:color w:val="000000"/>
          <w:kern w:val="0"/>
          <w:szCs w:val="32"/>
          <w:highlight w:val="none"/>
          <w:shd w:val="clear" w:color="auto" w:fill="FFFFFF"/>
          <w:lang w:val="en-US" w:eastAsia="zh-CN"/>
        </w:rPr>
        <w:t>常年项目绩效分析。</w:t>
      </w:r>
      <w:r>
        <w:rPr>
          <w:rFonts w:hint="default" w:cs="Times New Roman"/>
          <w:color w:val="000000"/>
          <w:kern w:val="0"/>
          <w:szCs w:val="32"/>
          <w:highlight w:val="none"/>
          <w:shd w:val="clear" w:color="auto" w:fill="FFFFFF"/>
          <w:lang w:val="zh-CN" w:eastAsia="zh-CN"/>
        </w:rPr>
        <w:t>该类项目总数</w:t>
      </w:r>
      <w:r>
        <w:rPr>
          <w:rFonts w:hint="default" w:cs="Times New Roman"/>
          <w:color w:val="000000"/>
          <w:kern w:val="0"/>
          <w:szCs w:val="32"/>
          <w:highlight w:val="none"/>
          <w:shd w:val="clear" w:color="auto" w:fill="FFFFFF"/>
          <w:lang w:val="en-US" w:eastAsia="zh-CN"/>
        </w:rPr>
        <w:t xml:space="preserve"> </w:t>
      </w:r>
      <w:r>
        <w:rPr>
          <w:rFonts w:hint="eastAsia" w:cs="Times New Roman"/>
          <w:color w:val="000000"/>
          <w:kern w:val="0"/>
          <w:szCs w:val="32"/>
          <w:highlight w:val="none"/>
          <w:shd w:val="clear" w:color="auto" w:fill="FFFFFF"/>
          <w:lang w:val="en-US" w:eastAsia="zh-CN"/>
        </w:rPr>
        <w:t>2</w:t>
      </w:r>
      <w:r>
        <w:rPr>
          <w:rFonts w:hint="default" w:cs="Times New Roman"/>
          <w:color w:val="000000"/>
          <w:kern w:val="0"/>
          <w:szCs w:val="32"/>
          <w:highlight w:val="none"/>
          <w:shd w:val="clear" w:color="auto" w:fill="FFFFFF"/>
          <w:lang w:val="zh-CN" w:eastAsia="zh-CN"/>
        </w:rPr>
        <w:t>个，涉及预算总金额</w:t>
      </w:r>
      <w:r>
        <w:rPr>
          <w:rFonts w:hint="default" w:cs="Times New Roman"/>
          <w:color w:val="000000"/>
          <w:kern w:val="0"/>
          <w:szCs w:val="32"/>
          <w:highlight w:val="none"/>
          <w:shd w:val="clear" w:color="auto" w:fill="FFFFFF"/>
          <w:lang w:val="en-US" w:eastAsia="zh-CN"/>
        </w:rPr>
        <w:t xml:space="preserve">   </w:t>
      </w:r>
      <w:r>
        <w:rPr>
          <w:rFonts w:hint="eastAsia" w:cs="Times New Roman"/>
          <w:color w:val="000000"/>
          <w:kern w:val="0"/>
          <w:szCs w:val="32"/>
          <w:highlight w:val="none"/>
          <w:shd w:val="clear" w:color="auto" w:fill="FFFFFF"/>
          <w:lang w:val="en-US" w:eastAsia="zh-CN"/>
        </w:rPr>
        <w:t>31.74</w:t>
      </w:r>
      <w:r>
        <w:rPr>
          <w:rFonts w:hint="default" w:cs="Times New Roman"/>
          <w:color w:val="000000"/>
          <w:kern w:val="0"/>
          <w:szCs w:val="32"/>
          <w:highlight w:val="none"/>
          <w:shd w:val="clear" w:color="auto" w:fill="FFFFFF"/>
          <w:lang w:val="zh-CN" w:eastAsia="zh-CN"/>
        </w:rPr>
        <w:t>万元，</w:t>
      </w:r>
      <w:r>
        <w:rPr>
          <w:rFonts w:hint="default" w:cs="Times New Roman"/>
          <w:color w:val="000000"/>
          <w:kern w:val="0"/>
          <w:szCs w:val="32"/>
          <w:highlight w:val="none"/>
          <w:shd w:val="clear" w:color="auto" w:fill="FFFFFF"/>
          <w:lang w:val="zh-CN"/>
        </w:rPr>
        <w:t>1</w:t>
      </w:r>
      <w:r>
        <w:rPr>
          <w:rFonts w:hint="eastAsia" w:cs="Times New Roman"/>
          <w:color w:val="000000"/>
          <w:kern w:val="0"/>
          <w:szCs w:val="32"/>
          <w:highlight w:val="none"/>
          <w:shd w:val="clear" w:color="auto" w:fill="FFFFFF"/>
          <w:lang w:val="zh-CN" w:eastAsia="zh-CN"/>
        </w:rPr>
        <w:t>—</w:t>
      </w:r>
      <w:r>
        <w:rPr>
          <w:rFonts w:hint="default" w:cs="Times New Roman"/>
          <w:color w:val="000000"/>
          <w:kern w:val="0"/>
          <w:szCs w:val="32"/>
          <w:highlight w:val="none"/>
          <w:shd w:val="clear" w:color="auto" w:fill="FFFFFF"/>
          <w:lang w:val="zh-CN"/>
        </w:rPr>
        <w:t>1</w:t>
      </w:r>
      <w:r>
        <w:rPr>
          <w:rFonts w:hint="default" w:cs="Times New Roman"/>
          <w:color w:val="000000"/>
          <w:kern w:val="0"/>
          <w:szCs w:val="32"/>
          <w:highlight w:val="none"/>
          <w:shd w:val="clear" w:color="auto" w:fill="FFFFFF"/>
          <w:lang w:val="en-US" w:eastAsia="zh-CN"/>
        </w:rPr>
        <w:t>2</w:t>
      </w:r>
      <w:r>
        <w:rPr>
          <w:rFonts w:hint="default" w:cs="Times New Roman"/>
          <w:color w:val="000000"/>
          <w:kern w:val="0"/>
          <w:szCs w:val="32"/>
          <w:highlight w:val="none"/>
          <w:shd w:val="clear" w:color="auto" w:fill="FFFFFF"/>
          <w:lang w:val="zh-CN"/>
        </w:rPr>
        <w:t>月预算执行总体进度为</w:t>
      </w:r>
      <w:r>
        <w:rPr>
          <w:rFonts w:hint="eastAsia" w:cs="Times New Roman"/>
          <w:color w:val="000000"/>
          <w:kern w:val="0"/>
          <w:szCs w:val="32"/>
          <w:highlight w:val="none"/>
          <w:shd w:val="clear" w:color="auto" w:fill="FFFFFF"/>
          <w:lang w:val="en-US" w:eastAsia="zh-CN"/>
        </w:rPr>
        <w:t>100</w:t>
      </w:r>
      <w:r>
        <w:rPr>
          <w:rFonts w:hint="default" w:cs="Times New Roman"/>
          <w:color w:val="000000"/>
          <w:kern w:val="0"/>
          <w:szCs w:val="32"/>
          <w:highlight w:val="none"/>
          <w:shd w:val="clear" w:color="auto" w:fill="FFFFFF"/>
          <w:lang w:val="zh-CN"/>
        </w:rPr>
        <w:t>%，其中：</w:t>
      </w:r>
      <w:r>
        <w:rPr>
          <w:rFonts w:hint="default" w:cs="Times New Roman"/>
          <w:color w:val="000000"/>
          <w:kern w:val="0"/>
          <w:szCs w:val="32"/>
          <w:highlight w:val="none"/>
          <w:shd w:val="clear" w:color="auto" w:fill="FFFFFF"/>
          <w:lang w:val="zh-CN" w:eastAsia="zh-CN"/>
        </w:rPr>
        <w:t>预算结余率大于</w:t>
      </w:r>
      <w:r>
        <w:rPr>
          <w:rFonts w:hint="default" w:cs="Times New Roman"/>
          <w:color w:val="000000"/>
          <w:kern w:val="0"/>
          <w:szCs w:val="32"/>
          <w:highlight w:val="none"/>
          <w:shd w:val="clear" w:color="auto" w:fill="FFFFFF"/>
          <w:lang w:val="en-US" w:eastAsia="zh-CN"/>
        </w:rPr>
        <w:t>10%</w:t>
      </w:r>
      <w:r>
        <w:rPr>
          <w:rFonts w:hint="default" w:cs="Times New Roman"/>
          <w:color w:val="000000"/>
          <w:kern w:val="0"/>
          <w:szCs w:val="32"/>
          <w:highlight w:val="none"/>
          <w:shd w:val="clear" w:color="auto" w:fill="FFFFFF"/>
          <w:lang w:val="zh-CN" w:eastAsia="zh-CN"/>
        </w:rPr>
        <w:t>的项目共计</w:t>
      </w:r>
      <w:r>
        <w:rPr>
          <w:rFonts w:hint="eastAsia" w:cs="Times New Roman"/>
          <w:color w:val="000000"/>
          <w:kern w:val="0"/>
          <w:szCs w:val="32"/>
          <w:highlight w:val="none"/>
          <w:shd w:val="clear" w:color="auto" w:fill="FFFFFF"/>
          <w:lang w:val="en-US" w:eastAsia="zh-CN"/>
        </w:rPr>
        <w:t>0</w:t>
      </w:r>
      <w:r>
        <w:rPr>
          <w:rFonts w:hint="default" w:cs="Times New Roman"/>
          <w:color w:val="000000"/>
          <w:kern w:val="0"/>
          <w:szCs w:val="32"/>
          <w:highlight w:val="none"/>
          <w:shd w:val="clear" w:color="auto" w:fill="FFFFFF"/>
          <w:lang w:val="en-US" w:eastAsia="zh-CN"/>
        </w:rPr>
        <w:t xml:space="preserve"> </w:t>
      </w:r>
      <w:r>
        <w:rPr>
          <w:rFonts w:hint="default" w:cs="Times New Roman"/>
          <w:color w:val="000000"/>
          <w:kern w:val="0"/>
          <w:szCs w:val="32"/>
          <w:highlight w:val="none"/>
          <w:shd w:val="clear" w:color="auto" w:fill="FFFFFF"/>
          <w:lang w:val="zh-CN" w:eastAsia="zh-CN"/>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560" w:lineRule="exact"/>
        <w:ind w:firstLine="640" w:firstLineChars="200"/>
        <w:contextualSpacing/>
        <w:jc w:val="left"/>
        <w:textAlignment w:val="auto"/>
        <w:outlineLvl w:val="9"/>
        <w:rPr>
          <w:rFonts w:hint="default" w:cs="Times New Roman"/>
          <w:color w:val="000000"/>
          <w:kern w:val="0"/>
          <w:szCs w:val="32"/>
          <w:highlight w:val="none"/>
          <w:shd w:val="clear" w:color="auto" w:fill="FFFFFF"/>
          <w:lang w:val="zh-CN" w:eastAsia="zh-CN"/>
        </w:rPr>
      </w:pPr>
      <w:r>
        <w:rPr>
          <w:rFonts w:hint="default" w:cs="Times New Roman"/>
          <w:color w:val="000000"/>
          <w:kern w:val="0"/>
          <w:szCs w:val="32"/>
          <w:highlight w:val="none"/>
          <w:shd w:val="clear" w:color="auto" w:fill="FFFFFF"/>
          <w:lang w:val="en-US" w:eastAsia="zh-CN"/>
        </w:rPr>
        <w:t>阶段</w:t>
      </w:r>
      <w:r>
        <w:rPr>
          <w:rFonts w:hint="eastAsia" w:cs="Times New Roman"/>
          <w:color w:val="000000"/>
          <w:kern w:val="0"/>
          <w:szCs w:val="32"/>
          <w:highlight w:val="none"/>
          <w:shd w:val="clear" w:color="auto" w:fill="FFFFFF"/>
          <w:lang w:val="en-US" w:eastAsia="zh-CN"/>
        </w:rPr>
        <w:t>（</w:t>
      </w:r>
      <w:r>
        <w:rPr>
          <w:rFonts w:hint="default" w:cs="Times New Roman"/>
          <w:color w:val="000000"/>
          <w:kern w:val="0"/>
          <w:szCs w:val="32"/>
          <w:highlight w:val="none"/>
          <w:shd w:val="clear" w:color="auto" w:fill="FFFFFF"/>
          <w:lang w:val="en-US" w:eastAsia="zh-CN"/>
        </w:rPr>
        <w:t>一次性</w:t>
      </w:r>
      <w:r>
        <w:rPr>
          <w:rFonts w:hint="eastAsia" w:cs="Times New Roman"/>
          <w:color w:val="000000"/>
          <w:kern w:val="0"/>
          <w:szCs w:val="32"/>
          <w:highlight w:val="none"/>
          <w:shd w:val="clear" w:color="auto" w:fill="FFFFFF"/>
          <w:lang w:val="en-US" w:eastAsia="zh-CN"/>
        </w:rPr>
        <w:t>）</w:t>
      </w:r>
      <w:r>
        <w:rPr>
          <w:rFonts w:hint="default" w:cs="Times New Roman"/>
          <w:color w:val="000000"/>
          <w:kern w:val="0"/>
          <w:szCs w:val="32"/>
          <w:highlight w:val="none"/>
          <w:shd w:val="clear" w:color="auto" w:fill="FFFFFF"/>
          <w:lang w:val="en-US" w:eastAsia="zh-CN"/>
        </w:rPr>
        <w:t>项目绩效分析。</w:t>
      </w:r>
      <w:r>
        <w:rPr>
          <w:rFonts w:hint="default" w:cs="Times New Roman"/>
          <w:color w:val="000000"/>
          <w:kern w:val="0"/>
          <w:szCs w:val="32"/>
          <w:highlight w:val="none"/>
          <w:shd w:val="clear" w:color="auto" w:fill="FFFFFF"/>
          <w:lang w:val="zh-CN" w:eastAsia="zh-CN"/>
        </w:rPr>
        <w:t>该类项目总数</w:t>
      </w:r>
      <w:r>
        <w:rPr>
          <w:rFonts w:hint="default" w:cs="Times New Roman"/>
          <w:color w:val="000000"/>
          <w:kern w:val="0"/>
          <w:szCs w:val="32"/>
          <w:highlight w:val="none"/>
          <w:shd w:val="clear" w:color="auto" w:fill="FFFFFF"/>
          <w:lang w:val="en-US" w:eastAsia="zh-CN"/>
        </w:rPr>
        <w:t xml:space="preserve"> </w:t>
      </w:r>
      <w:r>
        <w:rPr>
          <w:rFonts w:hint="eastAsia" w:cs="Times New Roman"/>
          <w:color w:val="000000"/>
          <w:kern w:val="0"/>
          <w:szCs w:val="32"/>
          <w:highlight w:val="none"/>
          <w:shd w:val="clear" w:color="auto" w:fill="FFFFFF"/>
          <w:lang w:val="en-US" w:eastAsia="zh-CN"/>
        </w:rPr>
        <w:t>0</w:t>
      </w:r>
      <w:r>
        <w:rPr>
          <w:rFonts w:hint="default" w:cs="Times New Roman"/>
          <w:color w:val="000000"/>
          <w:kern w:val="0"/>
          <w:szCs w:val="32"/>
          <w:highlight w:val="none"/>
          <w:shd w:val="clear" w:color="auto" w:fill="FFFFFF"/>
          <w:lang w:val="zh-CN" w:eastAsia="zh-CN"/>
        </w:rPr>
        <w:t>个，涉及预算总金额</w:t>
      </w:r>
      <w:r>
        <w:rPr>
          <w:rFonts w:hint="default" w:cs="Times New Roman"/>
          <w:color w:val="000000"/>
          <w:kern w:val="0"/>
          <w:szCs w:val="32"/>
          <w:highlight w:val="none"/>
          <w:shd w:val="clear" w:color="auto" w:fill="FFFFFF"/>
          <w:lang w:val="en-US" w:eastAsia="zh-CN"/>
        </w:rPr>
        <w:t xml:space="preserve"> </w:t>
      </w:r>
      <w:r>
        <w:rPr>
          <w:rFonts w:hint="eastAsia" w:cs="Times New Roman"/>
          <w:color w:val="000000"/>
          <w:kern w:val="0"/>
          <w:szCs w:val="32"/>
          <w:highlight w:val="none"/>
          <w:shd w:val="clear" w:color="auto" w:fill="FFFFFF"/>
          <w:lang w:val="en-US" w:eastAsia="zh-CN"/>
        </w:rPr>
        <w:t>0</w:t>
      </w:r>
      <w:r>
        <w:rPr>
          <w:rFonts w:hint="default" w:cs="Times New Roman"/>
          <w:color w:val="000000"/>
          <w:kern w:val="0"/>
          <w:szCs w:val="32"/>
          <w:highlight w:val="none"/>
          <w:shd w:val="clear" w:color="auto" w:fill="FFFFFF"/>
          <w:lang w:val="zh-CN" w:eastAsia="zh-CN"/>
        </w:rPr>
        <w:t>万元，</w:t>
      </w:r>
      <w:r>
        <w:rPr>
          <w:rFonts w:hint="default" w:cs="Times New Roman"/>
          <w:color w:val="000000"/>
          <w:kern w:val="0"/>
          <w:szCs w:val="32"/>
          <w:highlight w:val="none"/>
          <w:shd w:val="clear" w:color="auto" w:fill="FFFFFF"/>
          <w:lang w:val="zh-CN"/>
        </w:rPr>
        <w:t>1</w:t>
      </w:r>
      <w:r>
        <w:rPr>
          <w:rFonts w:hint="eastAsia" w:cs="Times New Roman"/>
          <w:color w:val="000000"/>
          <w:kern w:val="0"/>
          <w:szCs w:val="32"/>
          <w:highlight w:val="none"/>
          <w:shd w:val="clear" w:color="auto" w:fill="FFFFFF"/>
          <w:lang w:val="zh-CN" w:eastAsia="zh-CN"/>
        </w:rPr>
        <w:t>—</w:t>
      </w:r>
      <w:r>
        <w:rPr>
          <w:rFonts w:hint="default" w:cs="Times New Roman"/>
          <w:color w:val="000000"/>
          <w:kern w:val="0"/>
          <w:szCs w:val="32"/>
          <w:highlight w:val="none"/>
          <w:shd w:val="clear" w:color="auto" w:fill="FFFFFF"/>
          <w:lang w:val="zh-CN"/>
        </w:rPr>
        <w:t>1</w:t>
      </w:r>
      <w:r>
        <w:rPr>
          <w:rFonts w:hint="default" w:cs="Times New Roman"/>
          <w:color w:val="000000"/>
          <w:kern w:val="0"/>
          <w:szCs w:val="32"/>
          <w:highlight w:val="none"/>
          <w:shd w:val="clear" w:color="auto" w:fill="FFFFFF"/>
          <w:lang w:val="en-US" w:eastAsia="zh-CN"/>
        </w:rPr>
        <w:t>2</w:t>
      </w:r>
      <w:r>
        <w:rPr>
          <w:rFonts w:hint="default" w:cs="Times New Roman"/>
          <w:color w:val="000000"/>
          <w:kern w:val="0"/>
          <w:szCs w:val="32"/>
          <w:highlight w:val="none"/>
          <w:shd w:val="clear" w:color="auto" w:fill="FFFFFF"/>
          <w:lang w:val="zh-CN"/>
        </w:rPr>
        <w:t>月预算执行总体进度为</w:t>
      </w:r>
      <w:r>
        <w:rPr>
          <w:rFonts w:hint="default" w:cs="Times New Roman"/>
          <w:color w:val="000000"/>
          <w:kern w:val="0"/>
          <w:szCs w:val="32"/>
          <w:highlight w:val="none"/>
          <w:shd w:val="clear" w:color="auto" w:fill="FFFFFF"/>
          <w:lang w:val="en-US" w:eastAsia="zh-CN"/>
        </w:rPr>
        <w:t xml:space="preserve"> </w:t>
      </w:r>
      <w:r>
        <w:rPr>
          <w:rFonts w:hint="eastAsia" w:cs="Times New Roman"/>
          <w:color w:val="000000"/>
          <w:kern w:val="0"/>
          <w:szCs w:val="32"/>
          <w:highlight w:val="none"/>
          <w:shd w:val="clear" w:color="auto" w:fill="FFFFFF"/>
          <w:lang w:val="en-US" w:eastAsia="zh-CN"/>
        </w:rPr>
        <w:t>0</w:t>
      </w:r>
      <w:r>
        <w:rPr>
          <w:rFonts w:hint="default" w:cs="Times New Roman"/>
          <w:color w:val="000000"/>
          <w:kern w:val="0"/>
          <w:szCs w:val="32"/>
          <w:highlight w:val="none"/>
          <w:shd w:val="clear" w:color="auto" w:fill="FFFFFF"/>
          <w:lang w:val="en-US" w:eastAsia="zh-CN"/>
        </w:rPr>
        <w:t xml:space="preserve"> </w:t>
      </w:r>
      <w:r>
        <w:rPr>
          <w:rFonts w:hint="default" w:cs="Times New Roman"/>
          <w:color w:val="000000"/>
          <w:kern w:val="0"/>
          <w:szCs w:val="32"/>
          <w:highlight w:val="none"/>
          <w:shd w:val="clear" w:color="auto" w:fill="FFFFFF"/>
          <w:lang w:val="zh-CN"/>
        </w:rPr>
        <w:t>%，其中：</w:t>
      </w:r>
      <w:r>
        <w:rPr>
          <w:rFonts w:hint="default" w:cs="Times New Roman"/>
          <w:color w:val="000000"/>
          <w:kern w:val="0"/>
          <w:szCs w:val="32"/>
          <w:highlight w:val="none"/>
          <w:shd w:val="clear" w:color="auto" w:fill="FFFFFF"/>
          <w:lang w:val="zh-CN" w:eastAsia="zh-CN"/>
        </w:rPr>
        <w:t>预算结余率大于</w:t>
      </w:r>
      <w:r>
        <w:rPr>
          <w:rFonts w:hint="default" w:cs="Times New Roman"/>
          <w:color w:val="000000"/>
          <w:kern w:val="0"/>
          <w:szCs w:val="32"/>
          <w:highlight w:val="none"/>
          <w:shd w:val="clear" w:color="auto" w:fill="FFFFFF"/>
          <w:lang w:val="en-US" w:eastAsia="zh-CN"/>
        </w:rPr>
        <w:t>10%</w:t>
      </w:r>
      <w:r>
        <w:rPr>
          <w:rFonts w:hint="default" w:cs="Times New Roman"/>
          <w:color w:val="000000"/>
          <w:kern w:val="0"/>
          <w:szCs w:val="32"/>
          <w:highlight w:val="none"/>
          <w:shd w:val="clear" w:color="auto" w:fill="FFFFFF"/>
          <w:lang w:val="zh-CN" w:eastAsia="zh-CN"/>
        </w:rPr>
        <w:t>的项目共计</w:t>
      </w:r>
      <w:r>
        <w:rPr>
          <w:rFonts w:hint="eastAsia" w:cs="Times New Roman"/>
          <w:color w:val="000000"/>
          <w:kern w:val="0"/>
          <w:szCs w:val="32"/>
          <w:highlight w:val="none"/>
          <w:shd w:val="clear" w:color="auto" w:fill="FFFFFF"/>
          <w:lang w:val="en-US" w:eastAsia="zh-CN"/>
        </w:rPr>
        <w:t>0</w:t>
      </w:r>
      <w:r>
        <w:rPr>
          <w:rFonts w:hint="default" w:cs="Times New Roman"/>
          <w:color w:val="000000"/>
          <w:kern w:val="0"/>
          <w:szCs w:val="32"/>
          <w:highlight w:val="none"/>
          <w:shd w:val="clear" w:color="auto" w:fill="FFFFFF"/>
          <w:lang w:val="en-US" w:eastAsia="zh-CN"/>
        </w:rPr>
        <w:t xml:space="preserve"> </w:t>
      </w:r>
      <w:r>
        <w:rPr>
          <w:rFonts w:hint="default" w:cs="Times New Roman"/>
          <w:color w:val="000000"/>
          <w:kern w:val="0"/>
          <w:szCs w:val="32"/>
          <w:highlight w:val="none"/>
          <w:shd w:val="clear" w:color="auto" w:fill="FFFFFF"/>
          <w:lang w:val="zh-CN" w:eastAsia="zh-CN"/>
        </w:rPr>
        <w:t>个。</w:t>
      </w:r>
    </w:p>
    <w:p>
      <w:pPr>
        <w:pStyle w:val="11"/>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739" w:firstLineChars="231"/>
        <w:rPr>
          <w:rFonts w:hint="eastAsia" w:ascii="楷体_GB2312" w:hAnsi="楷体_GB2312" w:eastAsia="楷体_GB2312" w:cs="楷体_GB2312"/>
          <w:color w:val="000000"/>
          <w:kern w:val="0"/>
          <w:sz w:val="32"/>
          <w:szCs w:val="32"/>
          <w:highlight w:val="none"/>
          <w:shd w:val="clear" w:color="auto" w:fill="FFFFFF"/>
          <w:lang w:val="en-US" w:eastAsia="zh-CN" w:bidi="ar-SA"/>
        </w:rPr>
      </w:pPr>
      <w:r>
        <w:rPr>
          <w:rFonts w:hint="eastAsia" w:ascii="楷体_GB2312" w:hAnsi="楷体_GB2312" w:eastAsia="楷体_GB2312" w:cs="楷体_GB2312"/>
          <w:color w:val="000000"/>
          <w:kern w:val="0"/>
          <w:sz w:val="32"/>
          <w:szCs w:val="32"/>
          <w:highlight w:val="none"/>
          <w:shd w:val="clear" w:color="auto" w:fill="FFFFFF"/>
          <w:lang w:val="zh-CN" w:eastAsia="zh-CN" w:bidi="ar-SA"/>
        </w:rPr>
        <w:t>项目决策。一是决算程序：</w:t>
      </w:r>
      <w:r>
        <w:rPr>
          <w:rFonts w:hint="eastAsia" w:ascii="Times New Roman" w:hAnsi="Times New Roman" w:eastAsia="仿宋_GB2312" w:cs="Times New Roman"/>
          <w:color w:val="000000"/>
          <w:kern w:val="0"/>
          <w:sz w:val="32"/>
          <w:szCs w:val="32"/>
          <w:highlight w:val="none"/>
          <w:shd w:val="clear" w:color="auto" w:fill="FFFFFF"/>
          <w:lang w:val="zh-CN" w:eastAsia="zh-CN" w:bidi="ar-SA"/>
        </w:rPr>
        <w:t>根据部门实际需要编制预算，经过单位集体决策，项目绩效目标编制明确，并通过了预算草案审查，审查后未提出确需修改的问题，自评得</w:t>
      </w:r>
      <w:r>
        <w:rPr>
          <w:rFonts w:hint="eastAsia" w:cs="Times New Roman"/>
          <w:color w:val="000000"/>
          <w:kern w:val="0"/>
          <w:sz w:val="32"/>
          <w:szCs w:val="32"/>
          <w:highlight w:val="none"/>
          <w:shd w:val="clear" w:color="auto" w:fill="FFFFFF"/>
          <w:lang w:val="en-US" w:eastAsia="zh-CN" w:bidi="ar-SA"/>
        </w:rPr>
        <w:t>4</w:t>
      </w:r>
      <w:r>
        <w:rPr>
          <w:rFonts w:hint="eastAsia" w:ascii="Times New Roman" w:hAnsi="Times New Roman" w:eastAsia="仿宋_GB2312" w:cs="Times New Roman"/>
          <w:color w:val="000000"/>
          <w:kern w:val="0"/>
          <w:sz w:val="32"/>
          <w:szCs w:val="32"/>
          <w:highlight w:val="none"/>
          <w:shd w:val="clear" w:color="auto" w:fill="FFFFFF"/>
          <w:lang w:val="zh-CN" w:eastAsia="zh-CN" w:bidi="ar-SA"/>
        </w:rPr>
        <w:t>分。</w:t>
      </w:r>
      <w:r>
        <w:rPr>
          <w:rFonts w:hint="eastAsia" w:cs="Times New Roman"/>
          <w:color w:val="000000"/>
          <w:kern w:val="0"/>
          <w:sz w:val="32"/>
          <w:szCs w:val="32"/>
          <w:highlight w:val="none"/>
          <w:shd w:val="clear" w:color="auto" w:fill="FFFFFF"/>
          <w:lang w:val="zh-CN" w:eastAsia="zh-CN" w:bidi="ar-SA"/>
        </w:rPr>
        <w:t>二是</w:t>
      </w:r>
      <w:r>
        <w:rPr>
          <w:rFonts w:hint="eastAsia" w:ascii="Times New Roman" w:hAnsi="Times New Roman" w:eastAsia="仿宋_GB2312" w:cs="Times New Roman"/>
          <w:color w:val="000000"/>
          <w:kern w:val="0"/>
          <w:sz w:val="32"/>
          <w:szCs w:val="32"/>
          <w:highlight w:val="none"/>
          <w:shd w:val="clear" w:color="auto" w:fill="FFFFFF"/>
          <w:lang w:val="zh-CN" w:eastAsia="zh-CN" w:bidi="ar-SA"/>
        </w:rPr>
        <w:t>目标设置</w:t>
      </w:r>
      <w:r>
        <w:rPr>
          <w:rFonts w:hint="eastAsia" w:ascii="楷体_GB2312" w:hAnsi="楷体_GB2312" w:eastAsia="楷体_GB2312" w:cs="楷体_GB2312"/>
          <w:color w:val="000000"/>
          <w:kern w:val="0"/>
          <w:sz w:val="32"/>
          <w:szCs w:val="32"/>
          <w:highlight w:val="none"/>
          <w:shd w:val="clear" w:color="auto" w:fill="FFFFFF"/>
          <w:lang w:val="zh-CN" w:eastAsia="zh-CN" w:bidi="ar-SA"/>
        </w:rPr>
        <w:t>：一是</w:t>
      </w:r>
      <w:r>
        <w:rPr>
          <w:rFonts w:hint="eastAsia" w:ascii="楷体_GB2312" w:hAnsi="楷体_GB2312" w:eastAsia="楷体_GB2312" w:cs="楷体_GB2312"/>
          <w:color w:val="000000"/>
          <w:kern w:val="0"/>
          <w:sz w:val="32"/>
          <w:szCs w:val="32"/>
          <w:highlight w:val="none"/>
          <w:shd w:val="clear" w:color="auto" w:fill="FFFFFF"/>
          <w:lang w:val="en-US" w:eastAsia="zh-CN" w:bidi="ar-SA"/>
        </w:rPr>
        <w:t>编纂出版《黑水县年鉴（2023）》《黑水县共产党实录（2022）》。财政拨款资金项目16.74万元。二是拍摄制作《口述历史纪录片》。政府财政拨款项目15万元。三是项目入库：各项目按照预期目标完整、经济活动真实入库管理。在规定时间内完成项目入库，自评得4分。项目决策总体得12分。</w:t>
      </w:r>
    </w:p>
    <w:p>
      <w:pPr>
        <w:keepNext w:val="0"/>
        <w:keepLines w:val="0"/>
        <w:pageBreakBefore w:val="0"/>
        <w:numPr>
          <w:ilvl w:val="0"/>
          <w:numId w:val="0"/>
        </w:numPr>
        <w:kinsoku/>
        <w:wordWrap/>
        <w:overflowPunct/>
        <w:topLinePunct w:val="0"/>
        <w:autoSpaceDE/>
        <w:autoSpaceDN/>
        <w:bidi w:val="0"/>
        <w:spacing w:beforeAutospacing="0" w:afterAutospacing="0" w:line="560" w:lineRule="exact"/>
        <w:ind w:firstLine="640" w:firstLineChars="200"/>
        <w:rPr>
          <w:rFonts w:hint="eastAsia" w:ascii="楷体_GB2312" w:hAnsi="楷体_GB2312" w:eastAsia="楷体_GB2312" w:cs="楷体_GB2312"/>
          <w:color w:val="000000"/>
          <w:kern w:val="0"/>
          <w:szCs w:val="32"/>
          <w:highlight w:val="none"/>
          <w:shd w:val="clear" w:color="auto" w:fill="FFFFFF"/>
          <w:lang w:val="zh-CN"/>
        </w:rPr>
      </w:pPr>
      <w:r>
        <w:rPr>
          <w:rFonts w:hint="eastAsia" w:ascii="楷体_GB2312" w:hAnsi="楷体_GB2312" w:eastAsia="楷体_GB2312" w:cs="楷体_GB2312"/>
          <w:color w:val="000000"/>
          <w:kern w:val="0"/>
          <w:szCs w:val="32"/>
          <w:highlight w:val="none"/>
          <w:shd w:val="clear" w:color="auto" w:fill="FFFFFF"/>
          <w:lang w:val="en-US" w:eastAsia="zh-CN"/>
        </w:rPr>
        <w:t>2.项目执行</w:t>
      </w:r>
      <w:r>
        <w:rPr>
          <w:rFonts w:hint="eastAsia" w:ascii="楷体_GB2312" w:hAnsi="楷体_GB2312" w:eastAsia="楷体_GB2312" w:cs="楷体_GB2312"/>
          <w:color w:val="000000"/>
          <w:kern w:val="0"/>
          <w:szCs w:val="32"/>
          <w:highlight w:val="none"/>
          <w:shd w:val="clear" w:color="auto" w:fill="FFFFFF"/>
          <w:lang w:val="zh-CN"/>
        </w:rPr>
        <w:t>。</w:t>
      </w:r>
      <w:r>
        <w:rPr>
          <w:rFonts w:hint="eastAsia" w:ascii="仿宋_GB2312" w:hAnsi="仿宋_GB2312" w:cs="仿宋_GB2312"/>
          <w:color w:val="auto"/>
          <w:sz w:val="32"/>
          <w:szCs w:val="32"/>
          <w:lang w:val="zh-CN" w:eastAsia="zh-CN"/>
        </w:rPr>
        <w:t>一是执行同向：</w:t>
      </w:r>
      <w:r>
        <w:rPr>
          <w:rFonts w:hint="eastAsia" w:ascii="仿宋_GB2312" w:hAnsi="仿宋_GB2312" w:cs="仿宋_GB2312"/>
          <w:color w:val="auto"/>
          <w:sz w:val="32"/>
          <w:szCs w:val="32"/>
          <w:lang w:val="en-US" w:eastAsia="zh-CN"/>
        </w:rPr>
        <w:t>2024年度我部门实际列支项目与绩效预算阶段项目相符，预算节约率小于10%，得4分；二是项目调整：项目执行进度有序推进，完成绩效目标100%，无应采取未采取收回预算、年末根据资金使用进度调整结余资金为其他项目报财政审核后执行，得4分；三是执行结果：预算执行完成各项目标，</w:t>
      </w:r>
      <w:r>
        <w:rPr>
          <w:rFonts w:hint="eastAsia"/>
          <w:lang w:val="en-US" w:eastAsia="zh-CN"/>
        </w:rPr>
        <w:t>但</w:t>
      </w:r>
      <w:r>
        <w:rPr>
          <w:rFonts w:hint="eastAsia" w:ascii="仿宋_GB2312" w:hAnsi="仿宋_GB2312" w:cs="仿宋_GB2312"/>
          <w:color w:val="auto"/>
          <w:sz w:val="32"/>
          <w:szCs w:val="32"/>
          <w:lang w:val="en-US" w:eastAsia="zh-CN"/>
        </w:rPr>
        <w:t>部门项目多涉及人员补助类项目，导致资金支付进度上半年支付进度慢，下半年集中支付率较高，故扣1分，得3分。分。项目执行总体自评得分11分。</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rPr>
          <w:rFonts w:hint="eastAsia" w:ascii="楷体_GB2312" w:hAnsi="楷体_GB2312" w:eastAsia="仿宋_GB2312" w:cs="楷体_GB2312"/>
          <w:color w:val="000000"/>
          <w:kern w:val="0"/>
          <w:szCs w:val="32"/>
          <w:highlight w:val="none"/>
          <w:shd w:val="clear" w:color="auto" w:fill="FFFFFF"/>
          <w:lang w:val="en-US" w:eastAsia="zh-CN"/>
        </w:rPr>
      </w:pPr>
      <w:r>
        <w:rPr>
          <w:rFonts w:hint="eastAsia" w:ascii="楷体_GB2312" w:hAnsi="楷体_GB2312" w:eastAsia="楷体_GB2312" w:cs="楷体_GB2312"/>
          <w:color w:val="000000"/>
          <w:kern w:val="0"/>
          <w:sz w:val="32"/>
          <w:szCs w:val="32"/>
          <w:highlight w:val="none"/>
          <w:shd w:val="clear" w:color="auto" w:fill="FFFFFF"/>
          <w:lang w:val="en-US" w:eastAsia="zh-CN" w:bidi="ar-SA"/>
        </w:rPr>
        <w:t>3.</w:t>
      </w:r>
      <w:r>
        <w:rPr>
          <w:rFonts w:hint="eastAsia" w:ascii="楷体_GB2312" w:hAnsi="楷体_GB2312" w:eastAsia="楷体_GB2312" w:cs="楷体_GB2312"/>
          <w:color w:val="000000"/>
          <w:kern w:val="0"/>
          <w:sz w:val="32"/>
          <w:szCs w:val="32"/>
          <w:highlight w:val="none"/>
          <w:shd w:val="clear" w:color="auto" w:fill="FFFFFF"/>
          <w:lang w:val="zh-CN" w:eastAsia="zh-CN" w:bidi="ar-SA"/>
        </w:rPr>
        <w:t>目标实现。</w:t>
      </w:r>
      <w:r>
        <w:rPr>
          <w:rFonts w:hint="eastAsia" w:ascii="仿宋_GB2312" w:hAnsi="仿宋_GB2312" w:cs="仿宋_GB2312"/>
          <w:color w:val="auto"/>
          <w:sz w:val="32"/>
          <w:szCs w:val="32"/>
          <w:lang w:val="en-US" w:eastAsia="zh-CN"/>
        </w:rPr>
        <w:t>一是目标完成：目标设立清晰，完成率为100%，得4分，二是目标偏离：</w:t>
      </w:r>
      <w:r>
        <w:rPr>
          <w:rFonts w:hint="eastAsia" w:ascii="仿宋_GB2312" w:hAnsi="仿宋_GB2312" w:eastAsia="仿宋_GB2312" w:cs="仿宋_GB2312"/>
          <w:color w:val="auto"/>
          <w:kern w:val="2"/>
          <w:sz w:val="32"/>
          <w:szCs w:val="32"/>
          <w:lang w:val="zh-CN" w:eastAsia="zh-CN" w:bidi="ar-SA"/>
        </w:rPr>
        <w:t>预算项目绩效目标与实际有偏差，</w:t>
      </w:r>
      <w:r>
        <w:rPr>
          <w:rFonts w:hint="eastAsia" w:ascii="仿宋_GB2312" w:hAnsi="仿宋_GB2312" w:eastAsia="仿宋_GB2312" w:cs="仿宋_GB2312"/>
          <w:color w:val="auto"/>
          <w:kern w:val="2"/>
          <w:sz w:val="32"/>
          <w:szCs w:val="32"/>
          <w:lang w:val="en-US" w:eastAsia="zh-CN" w:bidi="ar-SA"/>
        </w:rPr>
        <w:t>其余项目均按目标完成无偏差，故扣1分，得3分</w:t>
      </w:r>
      <w:r>
        <w:rPr>
          <w:rFonts w:hint="eastAsia" w:cs="Times New Roman"/>
          <w:color w:val="000000"/>
          <w:kern w:val="0"/>
          <w:szCs w:val="32"/>
          <w:highlight w:val="none"/>
          <w:shd w:val="clear" w:color="auto" w:fill="FFFFFF"/>
          <w:lang w:val="en-US" w:eastAsia="zh-CN"/>
        </w:rPr>
        <w:t>。</w:t>
      </w:r>
      <w:r>
        <w:rPr>
          <w:rFonts w:hint="eastAsia" w:ascii="仿宋_GB2312" w:hAnsi="仿宋_GB2312" w:cs="仿宋_GB2312"/>
          <w:color w:val="auto"/>
          <w:sz w:val="32"/>
          <w:szCs w:val="32"/>
          <w:lang w:val="en-US" w:eastAsia="zh-CN"/>
        </w:rPr>
        <w:t>三是实现效果：</w:t>
      </w:r>
      <w:r>
        <w:rPr>
          <w:rFonts w:hint="eastAsia" w:ascii="仿宋_GB2312" w:hAnsi="仿宋_GB2312" w:eastAsia="仿宋_GB2312" w:cs="仿宋_GB2312"/>
          <w:color w:val="auto"/>
          <w:kern w:val="2"/>
          <w:sz w:val="32"/>
          <w:szCs w:val="32"/>
          <w:lang w:val="en-US" w:eastAsia="zh-CN" w:bidi="ar-SA"/>
        </w:rPr>
        <w:t>项目实现效果好，项目执行好评率高、目标完成率高，得3分。4</w:t>
      </w:r>
      <w:r>
        <w:rPr>
          <w:rFonts w:hint="eastAsia" w:ascii="仿宋_GB2312" w:hAnsi="仿宋_GB2312" w:eastAsia="仿宋_GB2312" w:cs="仿宋_GB2312"/>
          <w:color w:val="auto"/>
          <w:kern w:val="2"/>
          <w:sz w:val="32"/>
          <w:szCs w:val="32"/>
          <w:lang w:val="zh-CN" w:eastAsia="zh-CN" w:bidi="ar-SA"/>
        </w:rPr>
        <w:t>个项目指标实际完成均达到预期指标，目标实现总体自评得分：10分。</w:t>
      </w:r>
    </w:p>
    <w:p>
      <w:pPr>
        <w:keepNext w:val="0"/>
        <w:keepLines w:val="0"/>
        <w:pageBreakBefore w:val="0"/>
        <w:widowControl w:val="0"/>
        <w:kinsoku/>
        <w:wordWrap/>
        <w:overflowPunct/>
        <w:topLinePunct w:val="0"/>
        <w:autoSpaceDE/>
        <w:autoSpaceDN/>
        <w:bidi w:val="0"/>
        <w:snapToGrid w:val="0"/>
        <w:spacing w:beforeAutospacing="0" w:afterAutospacing="0" w:line="560" w:lineRule="exact"/>
        <w:ind w:firstLine="642" w:firstLineChars="200"/>
        <w:textAlignment w:val="auto"/>
        <w:rPr>
          <w:rFonts w:hint="eastAsia" w:ascii="Times New Roman" w:hAnsi="Times New Roman" w:eastAsia="楷体_GB2312" w:cs="Times New Roman"/>
          <w:b/>
          <w:bCs/>
          <w:szCs w:val="32"/>
          <w:lang w:val="zh-CN"/>
        </w:rPr>
      </w:pPr>
      <w:r>
        <w:rPr>
          <w:rFonts w:hint="default" w:ascii="Times New Roman" w:hAnsi="Times New Roman"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zh-CN"/>
        </w:rPr>
        <w:t>三</w:t>
      </w:r>
      <w:r>
        <w:rPr>
          <w:rFonts w:hint="default" w:ascii="Times New Roman" w:hAnsi="Times New Roman" w:eastAsia="楷体_GB2312" w:cs="Times New Roman"/>
          <w:b/>
          <w:bCs/>
          <w:color w:val="000000"/>
          <w:kern w:val="0"/>
          <w:szCs w:val="32"/>
          <w:highlight w:val="none"/>
          <w:shd w:val="clear" w:color="auto" w:fill="FFFFFF"/>
          <w:lang w:val="zh-CN"/>
        </w:rPr>
        <w:t>）</w:t>
      </w:r>
      <w:r>
        <w:rPr>
          <w:rFonts w:hint="default" w:ascii="Times New Roman" w:hAnsi="Times New Roman" w:eastAsia="楷体_GB2312" w:cs="Times New Roman"/>
          <w:b/>
          <w:bCs/>
          <w:szCs w:val="32"/>
          <w:lang w:val="zh-CN"/>
        </w:rPr>
        <w:t>绩效结果应用情况</w:t>
      </w:r>
      <w:r>
        <w:rPr>
          <w:rFonts w:hint="eastAsia" w:ascii="Times New Roman" w:hAnsi="Times New Roman" w:eastAsia="楷体_GB2312" w:cs="Times New Roman"/>
          <w:b/>
          <w:bCs/>
          <w:szCs w:val="32"/>
          <w:lang w:val="zh-CN"/>
        </w:rPr>
        <w:t>。</w:t>
      </w:r>
    </w:p>
    <w:p>
      <w:pPr>
        <w:keepNext w:val="0"/>
        <w:keepLines w:val="0"/>
        <w:pageBreakBefore w:val="0"/>
        <w:widowControl w:val="0"/>
        <w:kinsoku/>
        <w:wordWrap/>
        <w:overflowPunct/>
        <w:topLinePunct w:val="0"/>
        <w:autoSpaceDE/>
        <w:autoSpaceDN/>
        <w:bidi w:val="0"/>
        <w:snapToGrid w:val="0"/>
        <w:spacing w:beforeAutospacing="0" w:afterAutospacing="0" w:line="560" w:lineRule="exact"/>
        <w:ind w:firstLine="640" w:firstLineChars="200"/>
        <w:textAlignment w:val="auto"/>
        <w:rPr>
          <w:rFonts w:hint="eastAsia" w:cs="Times New Roman"/>
          <w:color w:val="000000"/>
          <w:kern w:val="0"/>
          <w:szCs w:val="32"/>
          <w:highlight w:val="none"/>
          <w:shd w:val="clear" w:color="auto" w:fill="FFFFFF"/>
          <w:lang w:val="zh-CN" w:eastAsia="zh-CN"/>
        </w:rPr>
      </w:pPr>
      <w:r>
        <w:rPr>
          <w:rFonts w:hint="eastAsia" w:ascii="楷体_GB2312" w:hAnsi="楷体_GB2312" w:eastAsia="楷体_GB2312" w:cs="楷体_GB2312"/>
          <w:color w:val="000000"/>
          <w:kern w:val="0"/>
          <w:sz w:val="32"/>
          <w:szCs w:val="32"/>
          <w:highlight w:val="none"/>
          <w:shd w:val="clear" w:color="auto" w:fill="FFFFFF"/>
          <w:lang w:val="en-US" w:eastAsia="zh-CN" w:bidi="ar-SA"/>
        </w:rPr>
        <w:t>1.</w:t>
      </w:r>
      <w:r>
        <w:rPr>
          <w:rFonts w:hint="eastAsia" w:ascii="Times New Roman" w:hAnsi="Times New Roman" w:cs="Times New Roman"/>
          <w:color w:val="000000"/>
          <w:kern w:val="0"/>
          <w:szCs w:val="32"/>
          <w:highlight w:val="none"/>
          <w:shd w:val="clear" w:color="auto" w:fill="FFFFFF"/>
          <w:lang w:val="zh-CN" w:eastAsia="zh-CN"/>
        </w:rPr>
        <w:t>围绕内部应用情况</w:t>
      </w:r>
      <w:r>
        <w:rPr>
          <w:rFonts w:hint="eastAsia" w:cs="Times New Roman"/>
          <w:color w:val="000000"/>
          <w:kern w:val="0"/>
          <w:szCs w:val="32"/>
          <w:highlight w:val="none"/>
          <w:shd w:val="clear" w:color="auto" w:fill="FFFFFF"/>
          <w:lang w:val="zh-CN" w:eastAsia="zh-CN"/>
        </w:rPr>
        <w:t>：通过绩效目标的制定和评定，逐步完善部门的内控制度。</w:t>
      </w:r>
    </w:p>
    <w:p>
      <w:pPr>
        <w:keepNext w:val="0"/>
        <w:keepLines w:val="0"/>
        <w:pageBreakBefore w:val="0"/>
        <w:widowControl w:val="0"/>
        <w:kinsoku/>
        <w:wordWrap/>
        <w:overflowPunct/>
        <w:topLinePunct w:val="0"/>
        <w:autoSpaceDE/>
        <w:autoSpaceDN/>
        <w:bidi w:val="0"/>
        <w:snapToGrid w:val="0"/>
        <w:spacing w:beforeAutospacing="0" w:afterAutospacing="0" w:line="560" w:lineRule="exact"/>
        <w:ind w:firstLine="640" w:firstLineChars="200"/>
        <w:textAlignment w:val="auto"/>
        <w:rPr>
          <w:rFonts w:hint="eastAsia" w:cs="Times New Roman"/>
          <w:color w:val="000000"/>
          <w:kern w:val="0"/>
          <w:szCs w:val="32"/>
          <w:highlight w:val="none"/>
          <w:shd w:val="clear" w:color="auto" w:fill="FFFFFF"/>
          <w:lang w:val="zh-CN" w:eastAsia="zh-CN"/>
        </w:rPr>
      </w:pPr>
      <w:r>
        <w:rPr>
          <w:rFonts w:hint="eastAsia" w:cs="Times New Roman"/>
          <w:color w:val="000000"/>
          <w:kern w:val="0"/>
          <w:szCs w:val="32"/>
          <w:highlight w:val="none"/>
          <w:shd w:val="clear" w:color="auto" w:fill="FFFFFF"/>
          <w:lang w:val="en-US" w:eastAsia="zh-CN"/>
        </w:rPr>
        <w:t>2.</w:t>
      </w:r>
      <w:r>
        <w:rPr>
          <w:rFonts w:hint="default" w:ascii="Times New Roman" w:hAnsi="Times New Roman" w:cs="Times New Roman"/>
          <w:color w:val="000000"/>
          <w:kern w:val="0"/>
          <w:szCs w:val="32"/>
          <w:highlight w:val="none"/>
          <w:shd w:val="clear" w:color="auto" w:fill="FFFFFF"/>
          <w:lang w:val="zh-CN" w:eastAsia="zh-CN"/>
        </w:rPr>
        <w:t>信息公开情况</w:t>
      </w:r>
      <w:r>
        <w:rPr>
          <w:rFonts w:hint="eastAsia" w:cs="Times New Roman"/>
          <w:color w:val="000000"/>
          <w:kern w:val="0"/>
          <w:szCs w:val="32"/>
          <w:highlight w:val="none"/>
          <w:shd w:val="clear" w:color="auto" w:fill="FFFFFF"/>
          <w:lang w:val="zh-CN" w:eastAsia="zh-CN"/>
        </w:rPr>
        <w:t>：信息公开完整真实，均按照财政要求及时公开预决算等信息。</w:t>
      </w:r>
    </w:p>
    <w:p>
      <w:pPr>
        <w:keepNext w:val="0"/>
        <w:keepLines w:val="0"/>
        <w:pageBreakBefore w:val="0"/>
        <w:widowControl w:val="0"/>
        <w:kinsoku/>
        <w:wordWrap/>
        <w:overflowPunct/>
        <w:topLinePunct w:val="0"/>
        <w:autoSpaceDE/>
        <w:autoSpaceDN/>
        <w:bidi w:val="0"/>
        <w:snapToGrid w:val="0"/>
        <w:spacing w:beforeAutospacing="0" w:afterAutospacing="0" w:line="560" w:lineRule="exact"/>
        <w:ind w:firstLine="640" w:firstLineChars="200"/>
        <w:textAlignment w:val="auto"/>
        <w:rPr>
          <w:rFonts w:hint="default" w:ascii="仿宋_GB2312" w:hAnsi="仿宋_GB2312" w:eastAsia="仿宋_GB2312" w:cs="仿宋_GB2312"/>
          <w:b/>
          <w:bCs w:val="0"/>
          <w:szCs w:val="32"/>
          <w:lang w:val="en-US"/>
        </w:rPr>
      </w:pPr>
      <w:r>
        <w:rPr>
          <w:rFonts w:hint="eastAsia" w:cs="Times New Roman"/>
          <w:color w:val="000000"/>
          <w:kern w:val="0"/>
          <w:szCs w:val="32"/>
          <w:highlight w:val="none"/>
          <w:shd w:val="clear" w:color="auto" w:fill="FFFFFF"/>
          <w:lang w:val="en-US" w:eastAsia="zh-CN"/>
        </w:rPr>
        <w:t>3.</w:t>
      </w:r>
      <w:r>
        <w:rPr>
          <w:rFonts w:hint="default" w:ascii="Times New Roman" w:hAnsi="Times New Roman" w:cs="Times New Roman"/>
          <w:color w:val="000000"/>
          <w:kern w:val="0"/>
          <w:szCs w:val="32"/>
          <w:highlight w:val="none"/>
          <w:shd w:val="clear" w:color="auto" w:fill="FFFFFF"/>
          <w:lang w:val="zh-CN" w:eastAsia="zh-CN"/>
        </w:rPr>
        <w:t>整改反馈情况</w:t>
      </w:r>
      <w:r>
        <w:rPr>
          <w:rFonts w:hint="eastAsia" w:cs="Times New Roman"/>
          <w:color w:val="000000"/>
          <w:kern w:val="0"/>
          <w:szCs w:val="32"/>
          <w:highlight w:val="none"/>
          <w:shd w:val="clear" w:color="auto" w:fill="FFFFFF"/>
          <w:lang w:val="zh-CN" w:eastAsia="zh-CN"/>
        </w:rPr>
        <w:t>进行分析：我单位</w:t>
      </w:r>
      <w:r>
        <w:rPr>
          <w:rFonts w:hint="eastAsia" w:cs="Times New Roman"/>
          <w:color w:val="000000"/>
          <w:kern w:val="0"/>
          <w:szCs w:val="32"/>
          <w:highlight w:val="none"/>
          <w:shd w:val="clear" w:color="auto" w:fill="FFFFFF"/>
          <w:lang w:val="en-US" w:eastAsia="zh-CN"/>
        </w:rPr>
        <w:t>2024无巡视审计，但在自查工作中发现报销问题及时整改，严格规范内控。</w:t>
      </w:r>
    </w:p>
    <w:p>
      <w:pPr>
        <w:widowControl/>
        <w:adjustRightInd w:val="0"/>
        <w:snapToGrid w:val="0"/>
        <w:spacing w:line="578" w:lineRule="exact"/>
        <w:ind w:firstLine="640" w:firstLineChars="200"/>
        <w:contextualSpacing/>
        <w:jc w:val="left"/>
        <w:rPr>
          <w:rFonts w:eastAsia="黑体"/>
          <w:color w:val="000000"/>
          <w:kern w:val="0"/>
          <w:szCs w:val="32"/>
          <w:shd w:val="clear" w:color="auto" w:fill="FFFFFF"/>
        </w:rPr>
      </w:pPr>
      <w:r>
        <w:rPr>
          <w:rFonts w:eastAsia="黑体"/>
          <w:color w:val="000000"/>
          <w:kern w:val="0"/>
          <w:szCs w:val="32"/>
          <w:shd w:val="clear" w:color="auto" w:fill="FFFFFF"/>
        </w:rPr>
        <w:t>四、评价结论及建议</w:t>
      </w:r>
    </w:p>
    <w:p>
      <w:pPr>
        <w:pStyle w:val="4"/>
        <w:adjustRightInd w:val="0"/>
        <w:snapToGrid w:val="0"/>
        <w:spacing w:before="72" w:line="580" w:lineRule="exact"/>
        <w:ind w:firstLine="642" w:firstLineChars="200"/>
        <w:rPr>
          <w:rFonts w:hint="eastAsia"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（一）评价结论。</w:t>
      </w:r>
    </w:p>
    <w:p>
      <w:pPr>
        <w:pStyle w:val="4"/>
        <w:adjustRightInd w:val="0"/>
        <w:snapToGrid w:val="0"/>
        <w:spacing w:before="72" w:line="580" w:lineRule="exact"/>
        <w:ind w:firstLine="640" w:firstLineChars="200"/>
        <w:rPr>
          <w:rFonts w:hAnsi="黑体" w:cs="黑体"/>
          <w:bCs/>
          <w:szCs w:val="32"/>
        </w:rPr>
      </w:pPr>
      <w:r>
        <w:rPr>
          <w:rFonts w:hint="eastAsia" w:hAnsi="黑体" w:cs="黑体"/>
          <w:bCs/>
          <w:szCs w:val="32"/>
        </w:rPr>
        <w:t>我中心部门支出在保障本中心工作运转、履行职能职责上整体情况良好，整体上完成了年初设定的绩效目标，保障了我中心工作的正常运转，促进了我中心的事业发展，充分发挥了财政资金的经济效益和社会效益，按照《202</w:t>
      </w:r>
      <w:r>
        <w:rPr>
          <w:rFonts w:hint="eastAsia" w:hAnsi="黑体" w:cs="黑体"/>
          <w:bCs/>
          <w:szCs w:val="32"/>
          <w:lang w:val="en-US" w:eastAsia="zh-CN"/>
        </w:rPr>
        <w:t>4</w:t>
      </w:r>
      <w:r>
        <w:rPr>
          <w:rFonts w:hint="eastAsia" w:hAnsi="黑体" w:cs="黑体"/>
          <w:bCs/>
          <w:szCs w:val="32"/>
        </w:rPr>
        <w:t>年县级部门预算绩效评价指标体系》，自评得分9</w:t>
      </w:r>
      <w:r>
        <w:rPr>
          <w:rFonts w:hint="eastAsia" w:hAnsi="黑体" w:cs="黑体"/>
          <w:bCs/>
          <w:szCs w:val="32"/>
          <w:lang w:val="en-US" w:eastAsia="zh-CN"/>
        </w:rPr>
        <w:t>7</w:t>
      </w:r>
      <w:r>
        <w:rPr>
          <w:rFonts w:hint="eastAsia" w:hAnsi="黑体" w:cs="黑体"/>
          <w:bCs/>
          <w:szCs w:val="32"/>
        </w:rPr>
        <w:t>分。</w:t>
      </w:r>
    </w:p>
    <w:p>
      <w:pPr>
        <w:widowControl/>
        <w:adjustRightInd w:val="0"/>
        <w:snapToGrid w:val="0"/>
        <w:spacing w:line="578" w:lineRule="exact"/>
        <w:ind w:firstLine="642" w:firstLineChars="200"/>
        <w:contextualSpacing/>
        <w:jc w:val="left"/>
        <w:rPr>
          <w:rFonts w:hint="eastAsia"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（二）存在问题。</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contextualSpacing/>
        <w:jc w:val="left"/>
        <w:textAlignment w:val="auto"/>
        <w:outlineLvl w:val="9"/>
        <w:rPr>
          <w:rFonts w:hint="eastAsia" w:ascii="仿宋_GB2312" w:hAnsi="仿宋_GB2312" w:cs="仿宋_GB2312"/>
          <w:b w:val="0"/>
          <w:bCs w:val="0"/>
          <w:kern w:val="0"/>
          <w:position w:val="0"/>
          <w:sz w:val="32"/>
          <w:szCs w:val="32"/>
          <w:highlight w:val="none"/>
          <w:lang w:val="en-US" w:eastAsia="zh-CN" w:bidi="ar-SA"/>
        </w:rPr>
      </w:pPr>
      <w:r>
        <w:rPr>
          <w:rFonts w:hint="eastAsia" w:ascii="仿宋_GB2312" w:hAnsi="仿宋_GB2312" w:cs="仿宋_GB2312"/>
          <w:b w:val="0"/>
          <w:bCs w:val="0"/>
          <w:kern w:val="0"/>
          <w:position w:val="0"/>
          <w:sz w:val="32"/>
          <w:szCs w:val="32"/>
          <w:highlight w:val="none"/>
          <w:lang w:val="en-US" w:eastAsia="zh-CN" w:bidi="ar-SA"/>
        </w:rPr>
        <w:t>一是预算编制准确度有待提高，存在中期追加、期末追减情况；二是固定资产卡片有未及时更新情况，管理有待完善；三是预算执行进度有待提高。</w:t>
      </w:r>
    </w:p>
    <w:p>
      <w:pPr>
        <w:widowControl/>
        <w:adjustRightInd w:val="0"/>
        <w:snapToGrid w:val="0"/>
        <w:spacing w:line="578" w:lineRule="exact"/>
        <w:ind w:firstLine="642" w:firstLineChars="200"/>
        <w:contextualSpacing/>
        <w:jc w:val="left"/>
        <w:rPr>
          <w:rFonts w:hint="eastAsia"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（三）改进建议。</w:t>
      </w:r>
    </w:p>
    <w:p>
      <w:pPr>
        <w:pStyle w:val="4"/>
        <w:adjustRightInd w:val="0"/>
        <w:snapToGrid w:val="0"/>
        <w:spacing w:before="72" w:line="580" w:lineRule="exact"/>
        <w:ind w:firstLine="640" w:firstLineChars="200"/>
        <w:rPr>
          <w:rFonts w:hint="eastAsia" w:hAnsi="黑体" w:cs="黑体"/>
          <w:bCs/>
          <w:szCs w:val="32"/>
        </w:rPr>
      </w:pPr>
      <w:r>
        <w:rPr>
          <w:rFonts w:hint="eastAsia" w:hAnsi="黑体" w:cs="黑体"/>
          <w:bCs/>
          <w:szCs w:val="32"/>
        </w:rPr>
        <w:t>建议加强对绩效评价工作的培训和指导，进一步优化项目绩效考核指标体系，做到合理性与可操作性的有机统一。</w:t>
      </w:r>
    </w:p>
    <w:p>
      <w:pPr>
        <w:spacing w:line="560" w:lineRule="exact"/>
        <w:rPr>
          <w:rFonts w:ascii="仿宋_GB2312" w:hAnsi="黑体" w:cs="黑体"/>
          <w:bCs/>
          <w:szCs w:val="32"/>
        </w:rPr>
      </w:pPr>
      <w:r>
        <w:rPr>
          <w:rFonts w:hint="eastAsia" w:ascii="仿宋_GB2312" w:hAnsi="黑体" w:cs="黑体"/>
          <w:bCs/>
          <w:szCs w:val="32"/>
        </w:rPr>
        <w:t>　为了进一步提高本部门整体绩效水平，在预算编制和预算执行过程中，我们提出如下建议：</w:t>
      </w:r>
    </w:p>
    <w:p>
      <w:pPr>
        <w:spacing w:line="560" w:lineRule="exact"/>
        <w:rPr>
          <w:rFonts w:ascii="仿宋_GB2312" w:hAnsi="黑体" w:cs="黑体"/>
          <w:bCs/>
          <w:szCs w:val="32"/>
        </w:rPr>
      </w:pPr>
      <w:r>
        <w:rPr>
          <w:rFonts w:hint="eastAsia" w:ascii="仿宋_GB2312" w:hAnsi="黑体" w:cs="黑体"/>
          <w:bCs/>
          <w:szCs w:val="32"/>
        </w:rPr>
        <w:t>　　（一）加强组织领导。统一思想，加强领导，明确责任，明确由相关部门牵头，各部门参与的绩效评价管理联席会议制度，为绩效评价工作开展创造好的条件。</w:t>
      </w:r>
    </w:p>
    <w:p>
      <w:pPr>
        <w:spacing w:line="560" w:lineRule="exact"/>
        <w:rPr>
          <w:rFonts w:ascii="仿宋_GB2312" w:hAnsi="黑体" w:cs="黑体"/>
          <w:bCs/>
          <w:szCs w:val="32"/>
        </w:rPr>
      </w:pPr>
      <w:r>
        <w:rPr>
          <w:rFonts w:hint="eastAsia" w:ascii="仿宋_GB2312" w:hAnsi="黑体" w:cs="黑体"/>
          <w:bCs/>
          <w:szCs w:val="32"/>
        </w:rPr>
        <w:t>　　（二）加强队伍建设。要抓好绩效评价管理部门的队伍建设和业务指导，培育统计调查项目和部门的绩效评价管理队伍，组建专家队伍，并加强业务培训。</w:t>
      </w:r>
    </w:p>
    <w:p>
      <w:pPr>
        <w:spacing w:line="560" w:lineRule="exact"/>
        <w:rPr>
          <w:rFonts w:hint="eastAsia"/>
          <w:color w:val="000000"/>
          <w:kern w:val="0"/>
          <w:szCs w:val="32"/>
          <w:shd w:val="clear" w:color="auto" w:fill="FFFFFF"/>
        </w:rPr>
      </w:pPr>
      <w:r>
        <w:rPr>
          <w:rFonts w:hint="eastAsia" w:ascii="仿宋_GB2312" w:hAnsi="黑体" w:cs="黑体"/>
          <w:bCs/>
          <w:szCs w:val="32"/>
        </w:rPr>
        <w:t>　　 （三）建议增加公业务费及差旅费经费</w:t>
      </w:r>
    </w:p>
    <w:p>
      <w:pPr>
        <w:pStyle w:val="12"/>
        <w:ind w:left="0" w:leftChars="0" w:firstLine="0" w:firstLineChars="0"/>
        <w:rPr>
          <w:rFonts w:hint="eastAsia"/>
          <w:color w:val="000000"/>
          <w:kern w:val="0"/>
          <w:shd w:val="clear" w:color="auto" w:fill="FFFFFF"/>
          <w:lang w:val="zh-CN"/>
        </w:rPr>
      </w:pPr>
      <w:r>
        <w:rPr>
          <w:rFonts w:hint="eastAsia"/>
          <w:color w:val="000000"/>
          <w:kern w:val="0"/>
          <w:szCs w:val="32"/>
          <w:shd w:val="clear" w:color="auto" w:fill="FFFFFF"/>
        </w:rPr>
        <w:t>附表：</w:t>
      </w:r>
      <w:r>
        <w:rPr>
          <w:color w:val="000000"/>
          <w:kern w:val="0"/>
          <w:szCs w:val="32"/>
          <w:shd w:val="clear" w:color="auto" w:fill="FFFFFF"/>
        </w:rPr>
        <w:t>部门整体支出绩效目标完成情况自评表</w:t>
      </w:r>
    </w:p>
    <w:p>
      <w:pPr>
        <w:snapToGrid w:val="0"/>
        <w:spacing w:line="578" w:lineRule="exact"/>
        <w:ind w:firstLine="3200" w:firstLineChars="1000"/>
        <w:rPr>
          <w:rFonts w:hint="eastAsia"/>
          <w:color w:val="000000"/>
          <w:kern w:val="0"/>
          <w:sz w:val="32"/>
          <w:szCs w:val="32"/>
          <w:shd w:val="clear" w:color="auto" w:fill="FFFFFF"/>
          <w:lang w:val="zh-CN"/>
        </w:rPr>
      </w:pPr>
      <w:r>
        <w:rPr>
          <w:rFonts w:hint="eastAsia"/>
          <w:color w:val="000000"/>
          <w:kern w:val="0"/>
          <w:sz w:val="32"/>
          <w:szCs w:val="32"/>
          <w:shd w:val="clear" w:color="auto" w:fill="FFFFFF"/>
          <w:lang w:val="zh-CN"/>
        </w:rPr>
        <w:t>黑水县党史研究和地方志编纂中心</w:t>
      </w:r>
    </w:p>
    <w:p>
      <w:pPr>
        <w:pStyle w:val="12"/>
        <w:ind w:left="0" w:leftChars="0" w:firstLine="4160" w:firstLineChars="1300"/>
        <w:rPr>
          <w:color w:val="000000"/>
          <w:kern w:val="0"/>
          <w:szCs w:val="32"/>
          <w:shd w:val="clear" w:color="auto" w:fill="FFFFFF"/>
        </w:rPr>
      </w:pPr>
      <w:r>
        <w:rPr>
          <w:rFonts w:hint="eastAsia"/>
          <w:color w:val="000000"/>
          <w:kern w:val="0"/>
          <w:sz w:val="32"/>
          <w:szCs w:val="32"/>
          <w:shd w:val="clear" w:color="auto" w:fill="FFFFFF"/>
          <w:lang w:val="en-US" w:eastAsia="zh-CN"/>
        </w:rPr>
        <w:t>2024年8月25日</w:t>
      </w:r>
      <w:r>
        <w:rPr>
          <w:rFonts w:hint="eastAsia"/>
          <w:color w:val="000000"/>
          <w:kern w:val="0"/>
          <w:sz w:val="32"/>
          <w:szCs w:val="32"/>
          <w:shd w:val="clear" w:color="auto" w:fill="FFFFFF"/>
          <w:lang w:val="zh-CN"/>
        </w:rPr>
        <w:br w:type="page"/>
      </w:r>
    </w:p>
    <w:tbl>
      <w:tblPr>
        <w:tblStyle w:val="13"/>
        <w:tblW w:w="907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13"/>
        <w:gridCol w:w="736"/>
        <w:gridCol w:w="400"/>
        <w:gridCol w:w="200"/>
        <w:gridCol w:w="1828"/>
        <w:gridCol w:w="13"/>
        <w:gridCol w:w="846"/>
        <w:gridCol w:w="818"/>
        <w:gridCol w:w="966"/>
        <w:gridCol w:w="779"/>
        <w:gridCol w:w="11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3" w:hRule="atLeast"/>
        </w:trPr>
        <w:tc>
          <w:tcPr>
            <w:tcW w:w="9079" w:type="dxa"/>
            <w:gridSpan w:val="11"/>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30"/>
                <w:szCs w:val="30"/>
                <w:u w:val="none"/>
                <w:lang w:val="en-US" w:eastAsia="zh-CN" w:bidi="ar"/>
              </w:rPr>
            </w:pPr>
            <w:r>
              <w:rPr>
                <w:rFonts w:hint="eastAsia" w:ascii="黑体" w:hAnsi="宋体" w:eastAsia="黑体" w:cs="黑体"/>
                <w:i w:val="0"/>
                <w:iCs w:val="0"/>
                <w:color w:val="000000"/>
                <w:kern w:val="0"/>
                <w:sz w:val="30"/>
                <w:szCs w:val="30"/>
                <w:u w:val="none"/>
                <w:lang w:val="en-US" w:eastAsia="zh-CN" w:bidi="ar"/>
              </w:rPr>
              <w:t>部门整体支出绩效完成情况自评表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9079" w:type="dxa"/>
            <w:gridSpan w:val="11"/>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（2023年度）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9079" w:type="dxa"/>
            <w:gridSpan w:val="11"/>
            <w:tcBorders>
              <w:top w:val="nil"/>
              <w:left w:val="nil"/>
              <w:bottom w:val="single" w:color="000000" w:sz="4" w:space="0"/>
              <w:right w:val="nil"/>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9" w:hRule="atLeast"/>
        </w:trPr>
        <w:tc>
          <w:tcPr>
            <w:tcW w:w="24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部门名称</w:t>
            </w:r>
          </w:p>
        </w:tc>
        <w:tc>
          <w:tcPr>
            <w:tcW w:w="663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县党史研究和地方志编纂中心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9" w:hRule="atLeast"/>
        </w:trPr>
        <w:tc>
          <w:tcPr>
            <w:tcW w:w="13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年度部门整体支出预算</w:t>
            </w:r>
          </w:p>
        </w:tc>
        <w:tc>
          <w:tcPr>
            <w:tcW w:w="11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资金总额</w:t>
            </w:r>
          </w:p>
        </w:tc>
        <w:tc>
          <w:tcPr>
            <w:tcW w:w="20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财政拨款</w:t>
            </w:r>
          </w:p>
        </w:tc>
        <w:tc>
          <w:tcPr>
            <w:tcW w:w="460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其他资金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139.14</w:t>
            </w:r>
          </w:p>
        </w:tc>
        <w:tc>
          <w:tcPr>
            <w:tcW w:w="20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139.14</w:t>
            </w:r>
          </w:p>
        </w:tc>
        <w:tc>
          <w:tcPr>
            <w:tcW w:w="460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21" w:hRule="atLeast"/>
        </w:trPr>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776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党史编研工作职责：征编、整理全县的党史资料，编辑出版《党史正本》和《黑水县党史大事记》及重要党史书籍；研究党的历史经验，为领导机关决策提供科学依据；运用党史资料对干部、群众进行思想、道德、革命传统教育，为社会主义建设和党的自身建设服务；做好党史书刊的宣传发行工作；完成县委和上级业务部门交办的其他征编任务。</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（2）、地方志编审工作职责：负责制定修志规划，组织、指导和编纂出版县志、部门志工作；完成地方年鉴、概况等编辑；负责地方文献的收集整理和旧志资料的校注出版工作；加强地方志</w:t>
            </w:r>
            <w:r>
              <w:rPr>
                <w:rFonts w:hint="eastAsia" w:ascii="宋体" w:hAnsi="宋体" w:eastAsia="宋体" w:cs="宋体"/>
                <w:i w:val="0"/>
                <w:iCs w:val="0"/>
                <w:color w:val="000000"/>
                <w:kern w:val="0"/>
                <w:sz w:val="18"/>
                <w:szCs w:val="18"/>
                <w:u w:val="none"/>
                <w:lang w:val="en-US" w:eastAsia="zh-CN" w:bidi="ar"/>
              </w:rPr>
              <w:t>工作</w:t>
            </w:r>
            <w:r>
              <w:rPr>
                <w:rFonts w:ascii="宋体" w:hAnsi="宋体" w:eastAsia="宋体" w:cs="宋体"/>
                <w:i w:val="0"/>
                <w:iCs w:val="0"/>
                <w:color w:val="000000"/>
                <w:kern w:val="0"/>
                <w:sz w:val="18"/>
                <w:szCs w:val="18"/>
                <w:u w:val="none"/>
                <w:lang w:val="en-US" w:eastAsia="zh-CN" w:bidi="ar"/>
              </w:rPr>
              <w:t>条例的宣传、贯彻，做好服务咨询工作，充分发挥地方志存史资政的社会功能；完成县委、县政府和上级业务部门交办的其他工作。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 xml:space="preserve">（3）、办公室工作职责：做好文件的收发、起草、承办工作；负责本单位的档案收集、整理，立卷归档和管理工作；负责职工考勤、后勤管理等工作；组织职工学习，并做好会议记录；做好办公室的日常工作；完成领导交办的其他工作。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9" w:hRule="atLeast"/>
        </w:trPr>
        <w:tc>
          <w:tcPr>
            <w:tcW w:w="13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年度主要任务</w:t>
            </w:r>
          </w:p>
        </w:tc>
        <w:tc>
          <w:tcPr>
            <w:tcW w:w="11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任务名称</w:t>
            </w:r>
          </w:p>
        </w:tc>
        <w:tc>
          <w:tcPr>
            <w:tcW w:w="663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主要内容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79" w:hRule="atLeast"/>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3丶办公室工作职责</w:t>
            </w:r>
          </w:p>
        </w:tc>
        <w:tc>
          <w:tcPr>
            <w:tcW w:w="663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做好文件的收发、起草、承办工作；负责本单位的档案收集、整理，立卷归档和管理工作；负责职工考勤、后勤管理等工作；组织职工学习，并做好会议记录；做好办公室的日常工作；完成领导交办的其他工作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3" w:hRule="atLeast"/>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5丶公用经费保障</w:t>
            </w:r>
          </w:p>
        </w:tc>
        <w:tc>
          <w:tcPr>
            <w:tcW w:w="663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保障单位日常办公运作（办公费，差旅费，邮电费，电费等）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9" w:hRule="atLeast"/>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4丶人员经费保障</w:t>
            </w:r>
          </w:p>
        </w:tc>
        <w:tc>
          <w:tcPr>
            <w:tcW w:w="663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保障单位正常运转（基本工资，津贴补贴，养老保险，住房公积金，医疗保险，职业年金保险等）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8" w:hRule="atLeast"/>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2丶地方志编审工作职责</w:t>
            </w:r>
          </w:p>
        </w:tc>
        <w:tc>
          <w:tcPr>
            <w:tcW w:w="663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负责制定修志规划，组织、指导和编纂出版县志、部门志工作；完成地方年鉴、概况等编辑；负责地方文献的收集整理和旧志资料的校注出版工作；加强地方志</w:t>
            </w:r>
            <w:r>
              <w:rPr>
                <w:rFonts w:hint="eastAsia" w:ascii="宋体" w:hAnsi="宋体" w:eastAsia="宋体" w:cs="宋体"/>
                <w:i w:val="0"/>
                <w:iCs w:val="0"/>
                <w:color w:val="000000"/>
                <w:kern w:val="0"/>
                <w:sz w:val="18"/>
                <w:szCs w:val="18"/>
                <w:u w:val="none"/>
                <w:lang w:val="en-US" w:eastAsia="zh-CN" w:bidi="ar"/>
              </w:rPr>
              <w:t>工作</w:t>
            </w:r>
            <w:r>
              <w:rPr>
                <w:rFonts w:ascii="宋体" w:hAnsi="宋体" w:eastAsia="宋体" w:cs="宋体"/>
                <w:i w:val="0"/>
                <w:iCs w:val="0"/>
                <w:color w:val="000000"/>
                <w:kern w:val="0"/>
                <w:sz w:val="18"/>
                <w:szCs w:val="18"/>
                <w:u w:val="none"/>
                <w:lang w:val="en-US" w:eastAsia="zh-CN" w:bidi="ar"/>
              </w:rPr>
              <w:t>条例的宣传、贯彻，做好服务咨询工作，充分发挥地方志存史资政的社会功能；完成县委、县政府和上级业务部门交办的其他工作。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6丶公务用车运行维护费</w:t>
            </w:r>
          </w:p>
        </w:tc>
        <w:tc>
          <w:tcPr>
            <w:tcW w:w="663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保障公务用车正常运转（油费，维修费等）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2" w:hRule="atLeast"/>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1丶党史编研工作职责</w:t>
            </w:r>
          </w:p>
        </w:tc>
        <w:tc>
          <w:tcPr>
            <w:tcW w:w="663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征编、整理全县的党史资料，编辑出版《党史正本》和《黑水县党史大事记》及重要党史书籍；研究党的历史经验，为领导机关决策提供科学依据；运用党史资料对干部、群众进行思想、道德、革命传统教育，为社会主义建设和党的自身建设服务；做好党史书刊的宣传发行工作；完成县委和上级业务部门交办的其他征编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4" w:hRule="atLeast"/>
        </w:trPr>
        <w:tc>
          <w:tcPr>
            <w:tcW w:w="13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年度绩效指标</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8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绩效指标性质</w:t>
            </w: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绩效指标值</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绩效度量单位</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实际完成</w:t>
            </w:r>
          </w:p>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4" w:hRule="atLeast"/>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0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8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发放职工工资，保险缴纳按时有序缴纳，保障干部职工基本生活保障</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元/人年</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6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18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县党史研究和地方志编纂中心职工预算7人，严格控制</w:t>
            </w:r>
            <w:r>
              <w:rPr>
                <w:rFonts w:hint="eastAsia" w:ascii="宋体" w:hAnsi="宋体" w:eastAsia="宋体" w:cs="宋体"/>
                <w:i w:val="0"/>
                <w:iCs w:val="0"/>
                <w:color w:val="000000"/>
                <w:kern w:val="0"/>
                <w:sz w:val="18"/>
                <w:szCs w:val="18"/>
                <w:u w:val="none"/>
                <w:lang w:val="en-US" w:eastAsia="zh-CN" w:bidi="ar"/>
              </w:rPr>
              <w:t>“三公””</w:t>
            </w:r>
            <w:r>
              <w:rPr>
                <w:rFonts w:ascii="宋体" w:hAnsi="宋体" w:eastAsia="宋体" w:cs="宋体"/>
                <w:i w:val="0"/>
                <w:iCs w:val="0"/>
                <w:color w:val="000000"/>
                <w:kern w:val="0"/>
                <w:sz w:val="18"/>
                <w:szCs w:val="18"/>
                <w:u w:val="none"/>
                <w:lang w:val="en-US" w:eastAsia="zh-CN" w:bidi="ar"/>
              </w:rPr>
              <w:t>经费支出</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元/人年</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70" w:hRule="atLeast"/>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8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按时有序发放干部职工工资，足额缴纳社会保险，保障干部职工基本生活保障</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1210947.46</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1620100.94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2" w:hRule="atLeast"/>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8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保障干部职工身心健康，安排每年1次体检，保障干部职工工资绩效支出。</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2" w:hRule="atLeast"/>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8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征编、整理全县的党史资料，做好服务咨询工作，做好党史书刊的宣传发行工作</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51" w:hRule="atLeast"/>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8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办公费丶差旅费丶公车维护支出，保障人员经费和公用经费基本支出，严格执行</w:t>
            </w:r>
            <w:r>
              <w:rPr>
                <w:rFonts w:hint="eastAsia" w:ascii="宋体" w:hAnsi="宋体" w:eastAsia="宋体" w:cs="宋体"/>
                <w:i w:val="0"/>
                <w:iCs w:val="0"/>
                <w:color w:val="000000"/>
                <w:kern w:val="0"/>
                <w:sz w:val="18"/>
                <w:szCs w:val="18"/>
                <w:u w:val="none"/>
                <w:lang w:val="en-US" w:eastAsia="zh-CN" w:bidi="ar"/>
              </w:rPr>
              <w:t>“三公”</w:t>
            </w:r>
            <w:r>
              <w:rPr>
                <w:rFonts w:ascii="宋体" w:hAnsi="宋体" w:eastAsia="宋体" w:cs="宋体"/>
                <w:i w:val="0"/>
                <w:iCs w:val="0"/>
                <w:color w:val="000000"/>
                <w:kern w:val="0"/>
                <w:sz w:val="18"/>
                <w:szCs w:val="18"/>
                <w:u w:val="none"/>
                <w:lang w:val="en-US" w:eastAsia="zh-CN" w:bidi="ar"/>
              </w:rPr>
              <w:t>经费支出</w:t>
            </w:r>
            <w:bookmarkStart w:id="0" w:name="_GoBack"/>
            <w:bookmarkEnd w:id="0"/>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180500</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25500</w:t>
            </w:r>
          </w:p>
        </w:tc>
      </w:tr>
    </w:tbl>
    <w:p>
      <w:pPr>
        <w:pStyle w:val="12"/>
        <w:ind w:left="0" w:leftChars="0" w:firstLine="0" w:firstLineChars="0"/>
        <w:rPr>
          <w:rFonts w:ascii="Times New Roman" w:eastAsia="黑体"/>
          <w:sz w:val="24"/>
          <w:szCs w:val="24"/>
        </w:rPr>
      </w:pPr>
    </w:p>
    <w:sectPr>
      <w:headerReference r:id="rId3" w:type="default"/>
      <w:footerReference r:id="rId4" w:type="default"/>
      <w:pgSz w:w="11906" w:h="16838"/>
      <w:pgMar w:top="2098" w:right="1474" w:bottom="1984" w:left="1587"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
    <w:altName w:val="仿宋_GB2312"/>
    <w:panose1 w:val="00000000000000000000"/>
    <w:charset w:val="00"/>
    <w:family w:val="roman"/>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AR PL UKai CN">
    <w:panose1 w:val="02000503000000000000"/>
    <w:charset w:val="86"/>
    <w:family w:val="auto"/>
    <w:pitch w:val="default"/>
    <w:sig w:usb0="A00002FF" w:usb1="3ACFFDFF" w:usb2="00000036" w:usb3="00000000" w:csb0="2016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ind w:right="451" w:rightChars="141"/>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5 -</w:t>
                          </w:r>
                          <w:r>
                            <w:rPr>
                              <w:rFonts w:ascii="宋体" w:hAnsi="宋体"/>
                              <w:sz w:val="28"/>
                              <w:szCs w:val="28"/>
                            </w:rPr>
                            <w:fldChar w:fldCharType="end"/>
                          </w: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">
              <v:fill on="f" focussize="0,0"/>
              <v:stroke on="f" weight="0.5pt"/>
              <v:imagedata o:title=""/>
              <o:lock v:ext="edit" aspectratio="f"/>
              <v:textbox inset="0mm,0mm,0mm,0mm" style="mso-fit-shape-to-text:t;">
                <w:txbxContent>
                  <w:p>
                    <w:pPr>
                      <w:pStyle w:val="7"/>
                      <w:ind w:right="451" w:rightChars="141"/>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5 -</w:t>
                    </w:r>
                    <w:r>
                      <w:rPr>
                        <w:rFonts w:ascii="宋体" w:hAnsi="宋体"/>
                        <w:sz w:val="28"/>
                        <w:szCs w:val="28"/>
                      </w:rPr>
                      <w:fldChar w:fldCharType="end"/>
                    </w:r>
                  </w:p>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FF8BAE"/>
    <w:multiLevelType w:val="singleLevel"/>
    <w:tmpl w:val="DCFF8BAE"/>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zNGE1MmY0ZjY5NDU5NTMzZDJjZDYxZTE5YTM4NzUifQ=="/>
    <w:docVar w:name="KSO_WPS_MARK_KEY" w:val="2ff61493-7891-46b1-959b-d15d77019e2b"/>
  </w:docVars>
  <w:rsids>
    <w:rsidRoot w:val="00EC0174"/>
    <w:rsid w:val="00006E4D"/>
    <w:rsid w:val="00021652"/>
    <w:rsid w:val="00030311"/>
    <w:rsid w:val="00030782"/>
    <w:rsid w:val="00030B66"/>
    <w:rsid w:val="0006102A"/>
    <w:rsid w:val="00065B0F"/>
    <w:rsid w:val="00065E7E"/>
    <w:rsid w:val="000820BB"/>
    <w:rsid w:val="0008241B"/>
    <w:rsid w:val="00092280"/>
    <w:rsid w:val="00097FAE"/>
    <w:rsid w:val="000A3233"/>
    <w:rsid w:val="000A7CE3"/>
    <w:rsid w:val="000B04D6"/>
    <w:rsid w:val="000B15CE"/>
    <w:rsid w:val="000C40C6"/>
    <w:rsid w:val="000C79C1"/>
    <w:rsid w:val="000D208A"/>
    <w:rsid w:val="000E037E"/>
    <w:rsid w:val="000F659A"/>
    <w:rsid w:val="000F77B0"/>
    <w:rsid w:val="0010235D"/>
    <w:rsid w:val="00103A47"/>
    <w:rsid w:val="00106D4D"/>
    <w:rsid w:val="001119A2"/>
    <w:rsid w:val="00120852"/>
    <w:rsid w:val="001221D6"/>
    <w:rsid w:val="0012510A"/>
    <w:rsid w:val="00125F67"/>
    <w:rsid w:val="001261AE"/>
    <w:rsid w:val="001348A4"/>
    <w:rsid w:val="0014117C"/>
    <w:rsid w:val="00146FE8"/>
    <w:rsid w:val="0014767B"/>
    <w:rsid w:val="00147AED"/>
    <w:rsid w:val="00177AAF"/>
    <w:rsid w:val="00183850"/>
    <w:rsid w:val="00184D9F"/>
    <w:rsid w:val="001A4749"/>
    <w:rsid w:val="001A4842"/>
    <w:rsid w:val="001A5833"/>
    <w:rsid w:val="001C2158"/>
    <w:rsid w:val="001C51F2"/>
    <w:rsid w:val="001C73AB"/>
    <w:rsid w:val="001D2EA4"/>
    <w:rsid w:val="001F47CE"/>
    <w:rsid w:val="001F5776"/>
    <w:rsid w:val="0020620D"/>
    <w:rsid w:val="002069BC"/>
    <w:rsid w:val="002069EB"/>
    <w:rsid w:val="002201B0"/>
    <w:rsid w:val="00220900"/>
    <w:rsid w:val="0022307E"/>
    <w:rsid w:val="00224D05"/>
    <w:rsid w:val="002323A3"/>
    <w:rsid w:val="00236EF7"/>
    <w:rsid w:val="0024058A"/>
    <w:rsid w:val="002410C0"/>
    <w:rsid w:val="00252894"/>
    <w:rsid w:val="00253FA6"/>
    <w:rsid w:val="00254728"/>
    <w:rsid w:val="002550E7"/>
    <w:rsid w:val="002558D4"/>
    <w:rsid w:val="002560E2"/>
    <w:rsid w:val="00264CFA"/>
    <w:rsid w:val="00270DD7"/>
    <w:rsid w:val="00276F4A"/>
    <w:rsid w:val="00280BFB"/>
    <w:rsid w:val="00280C88"/>
    <w:rsid w:val="002973A4"/>
    <w:rsid w:val="002A0195"/>
    <w:rsid w:val="002B5B34"/>
    <w:rsid w:val="002B6906"/>
    <w:rsid w:val="002B7215"/>
    <w:rsid w:val="002C0AFD"/>
    <w:rsid w:val="002C59D0"/>
    <w:rsid w:val="002D1A18"/>
    <w:rsid w:val="002D6C79"/>
    <w:rsid w:val="002E1104"/>
    <w:rsid w:val="002E3FDD"/>
    <w:rsid w:val="00300EF4"/>
    <w:rsid w:val="00301353"/>
    <w:rsid w:val="00305FF6"/>
    <w:rsid w:val="00307568"/>
    <w:rsid w:val="00311506"/>
    <w:rsid w:val="00316ADB"/>
    <w:rsid w:val="00317623"/>
    <w:rsid w:val="00335F67"/>
    <w:rsid w:val="003361E9"/>
    <w:rsid w:val="00350A65"/>
    <w:rsid w:val="00361C85"/>
    <w:rsid w:val="00371352"/>
    <w:rsid w:val="00374136"/>
    <w:rsid w:val="00376753"/>
    <w:rsid w:val="0038541D"/>
    <w:rsid w:val="00387818"/>
    <w:rsid w:val="00391A13"/>
    <w:rsid w:val="00391FD0"/>
    <w:rsid w:val="003A44FC"/>
    <w:rsid w:val="003B3299"/>
    <w:rsid w:val="003D10A2"/>
    <w:rsid w:val="003D33B8"/>
    <w:rsid w:val="003D624D"/>
    <w:rsid w:val="003D719A"/>
    <w:rsid w:val="003F5EB7"/>
    <w:rsid w:val="003F7FE2"/>
    <w:rsid w:val="004004E7"/>
    <w:rsid w:val="00416E1A"/>
    <w:rsid w:val="00426A3F"/>
    <w:rsid w:val="004277D4"/>
    <w:rsid w:val="00461638"/>
    <w:rsid w:val="004706FA"/>
    <w:rsid w:val="00474D8D"/>
    <w:rsid w:val="00475CCD"/>
    <w:rsid w:val="00477266"/>
    <w:rsid w:val="004811BC"/>
    <w:rsid w:val="004838F2"/>
    <w:rsid w:val="00486492"/>
    <w:rsid w:val="00492CF6"/>
    <w:rsid w:val="004A4C9D"/>
    <w:rsid w:val="004C2078"/>
    <w:rsid w:val="004C228F"/>
    <w:rsid w:val="004E752F"/>
    <w:rsid w:val="004F1E37"/>
    <w:rsid w:val="00515198"/>
    <w:rsid w:val="00521C44"/>
    <w:rsid w:val="005274E1"/>
    <w:rsid w:val="00531DDF"/>
    <w:rsid w:val="00535FA6"/>
    <w:rsid w:val="00542AB7"/>
    <w:rsid w:val="0055358D"/>
    <w:rsid w:val="005540C8"/>
    <w:rsid w:val="00555809"/>
    <w:rsid w:val="00562165"/>
    <w:rsid w:val="005756AF"/>
    <w:rsid w:val="00575A4A"/>
    <w:rsid w:val="00591B6F"/>
    <w:rsid w:val="005A1DAF"/>
    <w:rsid w:val="005C17C8"/>
    <w:rsid w:val="005C2098"/>
    <w:rsid w:val="005C2E6C"/>
    <w:rsid w:val="005D0CCF"/>
    <w:rsid w:val="005D1C01"/>
    <w:rsid w:val="005E297D"/>
    <w:rsid w:val="005E3F12"/>
    <w:rsid w:val="005F627E"/>
    <w:rsid w:val="0061652E"/>
    <w:rsid w:val="006205E9"/>
    <w:rsid w:val="00622D0B"/>
    <w:rsid w:val="006270DA"/>
    <w:rsid w:val="00630B75"/>
    <w:rsid w:val="00634DFF"/>
    <w:rsid w:val="00635337"/>
    <w:rsid w:val="0064265B"/>
    <w:rsid w:val="0064519C"/>
    <w:rsid w:val="0065082E"/>
    <w:rsid w:val="006512D0"/>
    <w:rsid w:val="006560A3"/>
    <w:rsid w:val="00656301"/>
    <w:rsid w:val="006600C9"/>
    <w:rsid w:val="006701CC"/>
    <w:rsid w:val="00671F58"/>
    <w:rsid w:val="006762A4"/>
    <w:rsid w:val="006900E7"/>
    <w:rsid w:val="006A00A8"/>
    <w:rsid w:val="006A482D"/>
    <w:rsid w:val="006B11E0"/>
    <w:rsid w:val="006B386A"/>
    <w:rsid w:val="006B7CB4"/>
    <w:rsid w:val="006C24D3"/>
    <w:rsid w:val="006C7917"/>
    <w:rsid w:val="006E51AE"/>
    <w:rsid w:val="0070081F"/>
    <w:rsid w:val="007018F5"/>
    <w:rsid w:val="00710897"/>
    <w:rsid w:val="00712F45"/>
    <w:rsid w:val="00734305"/>
    <w:rsid w:val="007370E1"/>
    <w:rsid w:val="007732A1"/>
    <w:rsid w:val="00774C4A"/>
    <w:rsid w:val="00782BBB"/>
    <w:rsid w:val="007A0690"/>
    <w:rsid w:val="007A078F"/>
    <w:rsid w:val="007B34D4"/>
    <w:rsid w:val="007C0633"/>
    <w:rsid w:val="007D086C"/>
    <w:rsid w:val="007F1BE1"/>
    <w:rsid w:val="007F707F"/>
    <w:rsid w:val="007F794C"/>
    <w:rsid w:val="007F7AC9"/>
    <w:rsid w:val="00803B42"/>
    <w:rsid w:val="008073EF"/>
    <w:rsid w:val="0081095C"/>
    <w:rsid w:val="00810C41"/>
    <w:rsid w:val="008212FF"/>
    <w:rsid w:val="0082593B"/>
    <w:rsid w:val="00827537"/>
    <w:rsid w:val="008468EA"/>
    <w:rsid w:val="00867140"/>
    <w:rsid w:val="00881134"/>
    <w:rsid w:val="008904F0"/>
    <w:rsid w:val="008B2F27"/>
    <w:rsid w:val="008B4A72"/>
    <w:rsid w:val="008B585E"/>
    <w:rsid w:val="008E6C0C"/>
    <w:rsid w:val="008F1E63"/>
    <w:rsid w:val="008F3052"/>
    <w:rsid w:val="00901E19"/>
    <w:rsid w:val="009214F7"/>
    <w:rsid w:val="00921CD7"/>
    <w:rsid w:val="00940EB6"/>
    <w:rsid w:val="00944771"/>
    <w:rsid w:val="009601FC"/>
    <w:rsid w:val="00965426"/>
    <w:rsid w:val="0096654A"/>
    <w:rsid w:val="009711E4"/>
    <w:rsid w:val="00971572"/>
    <w:rsid w:val="0097537D"/>
    <w:rsid w:val="00981E55"/>
    <w:rsid w:val="00986CEF"/>
    <w:rsid w:val="00987212"/>
    <w:rsid w:val="009A0E5F"/>
    <w:rsid w:val="009F1AF3"/>
    <w:rsid w:val="009F233E"/>
    <w:rsid w:val="00A024AB"/>
    <w:rsid w:val="00A050A5"/>
    <w:rsid w:val="00A05B8B"/>
    <w:rsid w:val="00A1372F"/>
    <w:rsid w:val="00A170EC"/>
    <w:rsid w:val="00A217B3"/>
    <w:rsid w:val="00A23D04"/>
    <w:rsid w:val="00A277D9"/>
    <w:rsid w:val="00A30CEB"/>
    <w:rsid w:val="00A31318"/>
    <w:rsid w:val="00A5432A"/>
    <w:rsid w:val="00A55F8A"/>
    <w:rsid w:val="00A9670E"/>
    <w:rsid w:val="00AA1423"/>
    <w:rsid w:val="00AB7996"/>
    <w:rsid w:val="00AC43C3"/>
    <w:rsid w:val="00AE2EAD"/>
    <w:rsid w:val="00AF77BE"/>
    <w:rsid w:val="00B11CEE"/>
    <w:rsid w:val="00B23428"/>
    <w:rsid w:val="00B264BF"/>
    <w:rsid w:val="00B42E74"/>
    <w:rsid w:val="00B46874"/>
    <w:rsid w:val="00B50E8F"/>
    <w:rsid w:val="00B51151"/>
    <w:rsid w:val="00B523E4"/>
    <w:rsid w:val="00B52B4F"/>
    <w:rsid w:val="00B6108C"/>
    <w:rsid w:val="00B649AD"/>
    <w:rsid w:val="00B64B9C"/>
    <w:rsid w:val="00B67A3E"/>
    <w:rsid w:val="00B735CC"/>
    <w:rsid w:val="00B82C95"/>
    <w:rsid w:val="00B83F87"/>
    <w:rsid w:val="00B84DFD"/>
    <w:rsid w:val="00BB4E38"/>
    <w:rsid w:val="00BC3879"/>
    <w:rsid w:val="00BD0E0D"/>
    <w:rsid w:val="00BD41BC"/>
    <w:rsid w:val="00BD55AD"/>
    <w:rsid w:val="00BE0305"/>
    <w:rsid w:val="00BF15F0"/>
    <w:rsid w:val="00BF7DF9"/>
    <w:rsid w:val="00C03559"/>
    <w:rsid w:val="00C05395"/>
    <w:rsid w:val="00C176E4"/>
    <w:rsid w:val="00C22AD7"/>
    <w:rsid w:val="00C272C1"/>
    <w:rsid w:val="00C32A68"/>
    <w:rsid w:val="00C34282"/>
    <w:rsid w:val="00C35350"/>
    <w:rsid w:val="00C3564B"/>
    <w:rsid w:val="00C53721"/>
    <w:rsid w:val="00C64D2E"/>
    <w:rsid w:val="00C70F97"/>
    <w:rsid w:val="00C7497C"/>
    <w:rsid w:val="00C757A2"/>
    <w:rsid w:val="00C75966"/>
    <w:rsid w:val="00C76577"/>
    <w:rsid w:val="00C80225"/>
    <w:rsid w:val="00C81349"/>
    <w:rsid w:val="00C93139"/>
    <w:rsid w:val="00CA08A0"/>
    <w:rsid w:val="00CA32D2"/>
    <w:rsid w:val="00CA4E07"/>
    <w:rsid w:val="00CA737D"/>
    <w:rsid w:val="00CB1EF5"/>
    <w:rsid w:val="00CB3CB0"/>
    <w:rsid w:val="00CC05D4"/>
    <w:rsid w:val="00CC7166"/>
    <w:rsid w:val="00CF5275"/>
    <w:rsid w:val="00CF6136"/>
    <w:rsid w:val="00D0023D"/>
    <w:rsid w:val="00D006C6"/>
    <w:rsid w:val="00D14A65"/>
    <w:rsid w:val="00D162B9"/>
    <w:rsid w:val="00D251E2"/>
    <w:rsid w:val="00D254F4"/>
    <w:rsid w:val="00D263A7"/>
    <w:rsid w:val="00D26B5D"/>
    <w:rsid w:val="00D33159"/>
    <w:rsid w:val="00D33A19"/>
    <w:rsid w:val="00D355B5"/>
    <w:rsid w:val="00D43DC3"/>
    <w:rsid w:val="00D51791"/>
    <w:rsid w:val="00D5281E"/>
    <w:rsid w:val="00D6531B"/>
    <w:rsid w:val="00D6612D"/>
    <w:rsid w:val="00D71AD9"/>
    <w:rsid w:val="00D73C02"/>
    <w:rsid w:val="00D872ED"/>
    <w:rsid w:val="00D913C6"/>
    <w:rsid w:val="00DA0236"/>
    <w:rsid w:val="00DA5D51"/>
    <w:rsid w:val="00DA5E29"/>
    <w:rsid w:val="00DA61CA"/>
    <w:rsid w:val="00DB66BB"/>
    <w:rsid w:val="00DB73AF"/>
    <w:rsid w:val="00DC2865"/>
    <w:rsid w:val="00DD0894"/>
    <w:rsid w:val="00DE1888"/>
    <w:rsid w:val="00DF1250"/>
    <w:rsid w:val="00DF6EF7"/>
    <w:rsid w:val="00E05454"/>
    <w:rsid w:val="00E074C3"/>
    <w:rsid w:val="00E23329"/>
    <w:rsid w:val="00E24D6D"/>
    <w:rsid w:val="00E341B2"/>
    <w:rsid w:val="00E42633"/>
    <w:rsid w:val="00E5699E"/>
    <w:rsid w:val="00E570E1"/>
    <w:rsid w:val="00E72773"/>
    <w:rsid w:val="00E76739"/>
    <w:rsid w:val="00E81946"/>
    <w:rsid w:val="00E82BB7"/>
    <w:rsid w:val="00E86D13"/>
    <w:rsid w:val="00E936C2"/>
    <w:rsid w:val="00E95346"/>
    <w:rsid w:val="00EA0CEF"/>
    <w:rsid w:val="00EA2E2A"/>
    <w:rsid w:val="00EB79D2"/>
    <w:rsid w:val="00EC0174"/>
    <w:rsid w:val="00ED3EEB"/>
    <w:rsid w:val="00ED5749"/>
    <w:rsid w:val="00ED5FA3"/>
    <w:rsid w:val="00ED68C4"/>
    <w:rsid w:val="00ED6A4E"/>
    <w:rsid w:val="00ED72EA"/>
    <w:rsid w:val="00EE3A4F"/>
    <w:rsid w:val="00EF10C3"/>
    <w:rsid w:val="00EF3BD2"/>
    <w:rsid w:val="00F16BCE"/>
    <w:rsid w:val="00F45DA1"/>
    <w:rsid w:val="00F5267B"/>
    <w:rsid w:val="00F53E8B"/>
    <w:rsid w:val="00F663FD"/>
    <w:rsid w:val="00F743B0"/>
    <w:rsid w:val="00F82409"/>
    <w:rsid w:val="00F8264F"/>
    <w:rsid w:val="00F833E9"/>
    <w:rsid w:val="00F84580"/>
    <w:rsid w:val="00F873DA"/>
    <w:rsid w:val="00F95982"/>
    <w:rsid w:val="00FA006C"/>
    <w:rsid w:val="00FA190E"/>
    <w:rsid w:val="00FA288B"/>
    <w:rsid w:val="00FA2997"/>
    <w:rsid w:val="00FA2C71"/>
    <w:rsid w:val="00FB3345"/>
    <w:rsid w:val="00FD0228"/>
    <w:rsid w:val="00FD3BB7"/>
    <w:rsid w:val="00FE0D93"/>
    <w:rsid w:val="00FF2572"/>
    <w:rsid w:val="00FF32AD"/>
    <w:rsid w:val="01907D27"/>
    <w:rsid w:val="01EA636A"/>
    <w:rsid w:val="02503AFD"/>
    <w:rsid w:val="029307AF"/>
    <w:rsid w:val="029564D7"/>
    <w:rsid w:val="04886D65"/>
    <w:rsid w:val="055A55AC"/>
    <w:rsid w:val="069B709F"/>
    <w:rsid w:val="073267E9"/>
    <w:rsid w:val="076D15CF"/>
    <w:rsid w:val="08281A82"/>
    <w:rsid w:val="09C13E54"/>
    <w:rsid w:val="0A312D88"/>
    <w:rsid w:val="0AA7129C"/>
    <w:rsid w:val="0AD74299"/>
    <w:rsid w:val="0ADA51CD"/>
    <w:rsid w:val="0B884AB9"/>
    <w:rsid w:val="0BCD4D32"/>
    <w:rsid w:val="0CBF0B1F"/>
    <w:rsid w:val="0DC31556"/>
    <w:rsid w:val="0DF06AB6"/>
    <w:rsid w:val="0ED53421"/>
    <w:rsid w:val="1034712E"/>
    <w:rsid w:val="117E748A"/>
    <w:rsid w:val="127E28E2"/>
    <w:rsid w:val="13F015BE"/>
    <w:rsid w:val="14832432"/>
    <w:rsid w:val="151614F8"/>
    <w:rsid w:val="161D68B6"/>
    <w:rsid w:val="172B22D6"/>
    <w:rsid w:val="187F73B4"/>
    <w:rsid w:val="18856BD6"/>
    <w:rsid w:val="19516FA3"/>
    <w:rsid w:val="199D21E8"/>
    <w:rsid w:val="1A3D6143"/>
    <w:rsid w:val="1B1C7466"/>
    <w:rsid w:val="1C013801"/>
    <w:rsid w:val="1C737230"/>
    <w:rsid w:val="1DFD8D3B"/>
    <w:rsid w:val="1F242A63"/>
    <w:rsid w:val="1F8D685B"/>
    <w:rsid w:val="1FB79DC9"/>
    <w:rsid w:val="1FBFC3F2"/>
    <w:rsid w:val="1FFFE033"/>
    <w:rsid w:val="20B147CB"/>
    <w:rsid w:val="20B41BC5"/>
    <w:rsid w:val="20C51CA1"/>
    <w:rsid w:val="21494A03"/>
    <w:rsid w:val="23D66550"/>
    <w:rsid w:val="25A935AA"/>
    <w:rsid w:val="261C4494"/>
    <w:rsid w:val="262523F6"/>
    <w:rsid w:val="27271343"/>
    <w:rsid w:val="27F352A6"/>
    <w:rsid w:val="2818512F"/>
    <w:rsid w:val="29195CD1"/>
    <w:rsid w:val="2A1F27A5"/>
    <w:rsid w:val="2AB11453"/>
    <w:rsid w:val="2B2C33CC"/>
    <w:rsid w:val="2B4C581C"/>
    <w:rsid w:val="2B681F2A"/>
    <w:rsid w:val="2CBA67B5"/>
    <w:rsid w:val="2D527252"/>
    <w:rsid w:val="2D92328E"/>
    <w:rsid w:val="2DC518B5"/>
    <w:rsid w:val="2DDC1740"/>
    <w:rsid w:val="2E9C3457"/>
    <w:rsid w:val="2EAE55F2"/>
    <w:rsid w:val="2EDF4302"/>
    <w:rsid w:val="2EFE1A04"/>
    <w:rsid w:val="2F3E386C"/>
    <w:rsid w:val="305B723E"/>
    <w:rsid w:val="338418CB"/>
    <w:rsid w:val="341D7D55"/>
    <w:rsid w:val="35BBF80F"/>
    <w:rsid w:val="3647730B"/>
    <w:rsid w:val="36714388"/>
    <w:rsid w:val="36940077"/>
    <w:rsid w:val="378C28D3"/>
    <w:rsid w:val="379A753B"/>
    <w:rsid w:val="38520604"/>
    <w:rsid w:val="38CD7870"/>
    <w:rsid w:val="38DE1A7D"/>
    <w:rsid w:val="392A6A70"/>
    <w:rsid w:val="3A566A9C"/>
    <w:rsid w:val="3AA572CA"/>
    <w:rsid w:val="3ABF6737"/>
    <w:rsid w:val="3B3E6803"/>
    <w:rsid w:val="3B6224F2"/>
    <w:rsid w:val="3B736F08"/>
    <w:rsid w:val="3BDF1D94"/>
    <w:rsid w:val="3BE3D531"/>
    <w:rsid w:val="3CF735EA"/>
    <w:rsid w:val="3D431A40"/>
    <w:rsid w:val="3D476EE9"/>
    <w:rsid w:val="3DE11806"/>
    <w:rsid w:val="3E144EC4"/>
    <w:rsid w:val="3EEF0540"/>
    <w:rsid w:val="3EFF42CA"/>
    <w:rsid w:val="3F6FCA38"/>
    <w:rsid w:val="3FD5AF3D"/>
    <w:rsid w:val="3FFED8BE"/>
    <w:rsid w:val="3FFF43BB"/>
    <w:rsid w:val="408B24EB"/>
    <w:rsid w:val="40DB5220"/>
    <w:rsid w:val="413E664E"/>
    <w:rsid w:val="41F25A6B"/>
    <w:rsid w:val="432C5832"/>
    <w:rsid w:val="433DCF8E"/>
    <w:rsid w:val="435F6BD5"/>
    <w:rsid w:val="436D5ED7"/>
    <w:rsid w:val="44DD66B8"/>
    <w:rsid w:val="456C495C"/>
    <w:rsid w:val="458C5EA1"/>
    <w:rsid w:val="45E83F3B"/>
    <w:rsid w:val="45FF973D"/>
    <w:rsid w:val="4743767B"/>
    <w:rsid w:val="47550EBA"/>
    <w:rsid w:val="478B38B6"/>
    <w:rsid w:val="4A5F084F"/>
    <w:rsid w:val="4A735DEF"/>
    <w:rsid w:val="4AA5596D"/>
    <w:rsid w:val="4BF7E09D"/>
    <w:rsid w:val="4BFC429C"/>
    <w:rsid w:val="4C141D8F"/>
    <w:rsid w:val="4CCF19B1"/>
    <w:rsid w:val="4D186EB4"/>
    <w:rsid w:val="4E2D6399"/>
    <w:rsid w:val="4E807407"/>
    <w:rsid w:val="4F12664B"/>
    <w:rsid w:val="4F336227"/>
    <w:rsid w:val="4F5368C9"/>
    <w:rsid w:val="4FFFFC3E"/>
    <w:rsid w:val="50964618"/>
    <w:rsid w:val="524B3888"/>
    <w:rsid w:val="53BB74FC"/>
    <w:rsid w:val="53E350D7"/>
    <w:rsid w:val="546926EB"/>
    <w:rsid w:val="55E170DB"/>
    <w:rsid w:val="55FDDF92"/>
    <w:rsid w:val="55FFBC03"/>
    <w:rsid w:val="56CDA72E"/>
    <w:rsid w:val="576F5916"/>
    <w:rsid w:val="577FDAE2"/>
    <w:rsid w:val="57FBE2C7"/>
    <w:rsid w:val="59140E77"/>
    <w:rsid w:val="595860BD"/>
    <w:rsid w:val="59FD1648"/>
    <w:rsid w:val="5A483406"/>
    <w:rsid w:val="5ACF3C23"/>
    <w:rsid w:val="5B335734"/>
    <w:rsid w:val="5B7F322F"/>
    <w:rsid w:val="5BCAB023"/>
    <w:rsid w:val="5BD31C7D"/>
    <w:rsid w:val="5C5679F9"/>
    <w:rsid w:val="5C9B4EDB"/>
    <w:rsid w:val="5DDA9B94"/>
    <w:rsid w:val="5E7C0F73"/>
    <w:rsid w:val="5EAB810D"/>
    <w:rsid w:val="5EFF9DA6"/>
    <w:rsid w:val="5F7751B9"/>
    <w:rsid w:val="5F9F7232"/>
    <w:rsid w:val="5F9F9588"/>
    <w:rsid w:val="5FB60800"/>
    <w:rsid w:val="5FBD32D2"/>
    <w:rsid w:val="5FD450B0"/>
    <w:rsid w:val="5FEF60CD"/>
    <w:rsid w:val="5FFB203D"/>
    <w:rsid w:val="5FFB8CF9"/>
    <w:rsid w:val="613020BD"/>
    <w:rsid w:val="618A2654"/>
    <w:rsid w:val="6192502F"/>
    <w:rsid w:val="62061579"/>
    <w:rsid w:val="62E657C5"/>
    <w:rsid w:val="63DBAF21"/>
    <w:rsid w:val="65E22973"/>
    <w:rsid w:val="66342B59"/>
    <w:rsid w:val="6636451A"/>
    <w:rsid w:val="66E17EDE"/>
    <w:rsid w:val="67DE80AA"/>
    <w:rsid w:val="681508E6"/>
    <w:rsid w:val="68E5013A"/>
    <w:rsid w:val="6918447A"/>
    <w:rsid w:val="697E3B47"/>
    <w:rsid w:val="69BF132E"/>
    <w:rsid w:val="69E93C5A"/>
    <w:rsid w:val="69F820EF"/>
    <w:rsid w:val="6B16603A"/>
    <w:rsid w:val="6B43383E"/>
    <w:rsid w:val="6BFEE5F3"/>
    <w:rsid w:val="6C396551"/>
    <w:rsid w:val="6C4C04D0"/>
    <w:rsid w:val="6C9E6F7E"/>
    <w:rsid w:val="6CAFF34E"/>
    <w:rsid w:val="6CB06CB1"/>
    <w:rsid w:val="6CC13EFC"/>
    <w:rsid w:val="6CFFCF4F"/>
    <w:rsid w:val="6D5D5560"/>
    <w:rsid w:val="6DAF2A8F"/>
    <w:rsid w:val="6DFFF8B6"/>
    <w:rsid w:val="6E9FE641"/>
    <w:rsid w:val="6EDF4281"/>
    <w:rsid w:val="6EEDE807"/>
    <w:rsid w:val="6EEE4BE4"/>
    <w:rsid w:val="6EF65E9C"/>
    <w:rsid w:val="6F3D9197"/>
    <w:rsid w:val="6F935F07"/>
    <w:rsid w:val="6FAB3EC4"/>
    <w:rsid w:val="6FB6AF41"/>
    <w:rsid w:val="6FD894C8"/>
    <w:rsid w:val="6FE36A9E"/>
    <w:rsid w:val="6FE6A171"/>
    <w:rsid w:val="6FEFB2D1"/>
    <w:rsid w:val="6FFF97E6"/>
    <w:rsid w:val="70357BF9"/>
    <w:rsid w:val="708A15C7"/>
    <w:rsid w:val="70CE7706"/>
    <w:rsid w:val="71397E03"/>
    <w:rsid w:val="71FB5B08"/>
    <w:rsid w:val="73DA3887"/>
    <w:rsid w:val="73FB87D9"/>
    <w:rsid w:val="74123DAE"/>
    <w:rsid w:val="74822CE1"/>
    <w:rsid w:val="75480616"/>
    <w:rsid w:val="756E07D6"/>
    <w:rsid w:val="75DE488F"/>
    <w:rsid w:val="75EF0FBA"/>
    <w:rsid w:val="76037E52"/>
    <w:rsid w:val="7607C293"/>
    <w:rsid w:val="76363621"/>
    <w:rsid w:val="76772AF9"/>
    <w:rsid w:val="76DFA4E8"/>
    <w:rsid w:val="778720BD"/>
    <w:rsid w:val="77A7D615"/>
    <w:rsid w:val="77FF366A"/>
    <w:rsid w:val="77FF8C96"/>
    <w:rsid w:val="77FFA8F9"/>
    <w:rsid w:val="7976604B"/>
    <w:rsid w:val="79F3BC78"/>
    <w:rsid w:val="7A5B6CAA"/>
    <w:rsid w:val="7A9314AC"/>
    <w:rsid w:val="7B4F6850"/>
    <w:rsid w:val="7B8E01BE"/>
    <w:rsid w:val="7BABD5C4"/>
    <w:rsid w:val="7BB12055"/>
    <w:rsid w:val="7BBFADBA"/>
    <w:rsid w:val="7BE427EC"/>
    <w:rsid w:val="7BFF492D"/>
    <w:rsid w:val="7C631402"/>
    <w:rsid w:val="7C978C63"/>
    <w:rsid w:val="7CA35AD0"/>
    <w:rsid w:val="7CCB71F0"/>
    <w:rsid w:val="7CDF8BC3"/>
    <w:rsid w:val="7CEB72A5"/>
    <w:rsid w:val="7D18750B"/>
    <w:rsid w:val="7D865316"/>
    <w:rsid w:val="7DDFDC39"/>
    <w:rsid w:val="7E140770"/>
    <w:rsid w:val="7E5D92FB"/>
    <w:rsid w:val="7EF51D64"/>
    <w:rsid w:val="7EFFF488"/>
    <w:rsid w:val="7F574612"/>
    <w:rsid w:val="7F6F47AA"/>
    <w:rsid w:val="7F7F4920"/>
    <w:rsid w:val="7FB7C299"/>
    <w:rsid w:val="7FBFFB92"/>
    <w:rsid w:val="7FD76ACB"/>
    <w:rsid w:val="7FD89DA2"/>
    <w:rsid w:val="7FDBD805"/>
    <w:rsid w:val="7FDEC14D"/>
    <w:rsid w:val="7FDF8B76"/>
    <w:rsid w:val="7FDFE693"/>
    <w:rsid w:val="7FEFB5DD"/>
    <w:rsid w:val="7FEFBBD9"/>
    <w:rsid w:val="7FFD6A57"/>
    <w:rsid w:val="7FFDA7EC"/>
    <w:rsid w:val="7FFDEA1E"/>
    <w:rsid w:val="7FFEC1F6"/>
    <w:rsid w:val="7FFF2F52"/>
    <w:rsid w:val="8F7B4EC8"/>
    <w:rsid w:val="8FBD4480"/>
    <w:rsid w:val="8FF7AE96"/>
    <w:rsid w:val="955F5184"/>
    <w:rsid w:val="9F6311D7"/>
    <w:rsid w:val="9FF54399"/>
    <w:rsid w:val="A46D76C1"/>
    <w:rsid w:val="A7FF43C2"/>
    <w:rsid w:val="ABF66286"/>
    <w:rsid w:val="AD9E3F04"/>
    <w:rsid w:val="ADA70464"/>
    <w:rsid w:val="AFE97CD3"/>
    <w:rsid w:val="B1BF5C63"/>
    <w:rsid w:val="B1FF3A18"/>
    <w:rsid w:val="B3CDF284"/>
    <w:rsid w:val="B3E8107B"/>
    <w:rsid w:val="B5F66F24"/>
    <w:rsid w:val="B7F5200A"/>
    <w:rsid w:val="BABDA1AA"/>
    <w:rsid w:val="BB1B4BF1"/>
    <w:rsid w:val="BBE5FE68"/>
    <w:rsid w:val="BBFEB9C1"/>
    <w:rsid w:val="BCF734C5"/>
    <w:rsid w:val="BDF7406A"/>
    <w:rsid w:val="BE6FD8DB"/>
    <w:rsid w:val="BEEF57C2"/>
    <w:rsid w:val="BF6D5596"/>
    <w:rsid w:val="BFBEBB2C"/>
    <w:rsid w:val="BFC68935"/>
    <w:rsid w:val="BFDD0F1D"/>
    <w:rsid w:val="BFDDD096"/>
    <w:rsid w:val="C5B3F496"/>
    <w:rsid w:val="C96F3E49"/>
    <w:rsid w:val="CBBF14F3"/>
    <w:rsid w:val="CBE5DCF2"/>
    <w:rsid w:val="CCFCC735"/>
    <w:rsid w:val="CEEB8A74"/>
    <w:rsid w:val="D37FB642"/>
    <w:rsid w:val="D7F99798"/>
    <w:rsid w:val="D7FF400C"/>
    <w:rsid w:val="DBED1CD4"/>
    <w:rsid w:val="DBFBB328"/>
    <w:rsid w:val="DDD7453A"/>
    <w:rsid w:val="DE3E1FD7"/>
    <w:rsid w:val="DFBE1B79"/>
    <w:rsid w:val="DFCF1FEC"/>
    <w:rsid w:val="DFE75A3D"/>
    <w:rsid w:val="DFED2117"/>
    <w:rsid w:val="DFEF594B"/>
    <w:rsid w:val="DFF3F960"/>
    <w:rsid w:val="DFFE0D61"/>
    <w:rsid w:val="E35C4B3C"/>
    <w:rsid w:val="E3A781CA"/>
    <w:rsid w:val="E5DFAB50"/>
    <w:rsid w:val="E6FC647F"/>
    <w:rsid w:val="EBFBC8F1"/>
    <w:rsid w:val="EBFDF757"/>
    <w:rsid w:val="ED758B5D"/>
    <w:rsid w:val="ED76A08D"/>
    <w:rsid w:val="EDBDD81F"/>
    <w:rsid w:val="EDFDB542"/>
    <w:rsid w:val="EF0FCF96"/>
    <w:rsid w:val="EF95E20F"/>
    <w:rsid w:val="EFAF7DFF"/>
    <w:rsid w:val="EFAFB283"/>
    <w:rsid w:val="EFBDA38B"/>
    <w:rsid w:val="EFEE9A76"/>
    <w:rsid w:val="F1BF6FBC"/>
    <w:rsid w:val="F1F9A9B5"/>
    <w:rsid w:val="F3779FC2"/>
    <w:rsid w:val="F3D5C239"/>
    <w:rsid w:val="F3F37DF4"/>
    <w:rsid w:val="F3F96DE6"/>
    <w:rsid w:val="F3FBC54A"/>
    <w:rsid w:val="F47BB68A"/>
    <w:rsid w:val="F47F523E"/>
    <w:rsid w:val="F69FD6B0"/>
    <w:rsid w:val="F7E7F921"/>
    <w:rsid w:val="F7F7AC6A"/>
    <w:rsid w:val="F7FD93B9"/>
    <w:rsid w:val="FABF64A5"/>
    <w:rsid w:val="FABF7411"/>
    <w:rsid w:val="FBA53981"/>
    <w:rsid w:val="FBE4457E"/>
    <w:rsid w:val="FBFC558A"/>
    <w:rsid w:val="FBFF71AC"/>
    <w:rsid w:val="FBFFEA2B"/>
    <w:rsid w:val="FCCB27AA"/>
    <w:rsid w:val="FCFF8F4B"/>
    <w:rsid w:val="FD9595AD"/>
    <w:rsid w:val="FDF9DD9A"/>
    <w:rsid w:val="FDFF2821"/>
    <w:rsid w:val="FDFFA696"/>
    <w:rsid w:val="FE7FB02B"/>
    <w:rsid w:val="FEBD0232"/>
    <w:rsid w:val="FED5A77F"/>
    <w:rsid w:val="FEDFD193"/>
    <w:rsid w:val="FEE7097E"/>
    <w:rsid w:val="FEEF8230"/>
    <w:rsid w:val="FEF1F1BE"/>
    <w:rsid w:val="FEF99316"/>
    <w:rsid w:val="FEFB20CB"/>
    <w:rsid w:val="FEFD95B3"/>
    <w:rsid w:val="FEFE4E93"/>
    <w:rsid w:val="FEFFA483"/>
    <w:rsid w:val="FF29B32D"/>
    <w:rsid w:val="FF2E6944"/>
    <w:rsid w:val="FF5F9D52"/>
    <w:rsid w:val="FF7A0B6A"/>
    <w:rsid w:val="FF7B6DC2"/>
    <w:rsid w:val="FF7FFF75"/>
    <w:rsid w:val="FF921F59"/>
    <w:rsid w:val="FFBB1E09"/>
    <w:rsid w:val="FFBB6A0C"/>
    <w:rsid w:val="FFBD894B"/>
    <w:rsid w:val="FFBF33B3"/>
    <w:rsid w:val="FFD09362"/>
    <w:rsid w:val="FFD1DA08"/>
    <w:rsid w:val="FFD7DEDD"/>
    <w:rsid w:val="FFDE369F"/>
    <w:rsid w:val="FFEF98C9"/>
    <w:rsid w:val="FFEFCE62"/>
    <w:rsid w:val="FFF973B0"/>
    <w:rsid w:val="FFFB4F05"/>
    <w:rsid w:val="FFFEC8F5"/>
    <w:rsid w:val="FFFEF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7"/>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beforeLines="50" w:line="360" w:lineRule="auto"/>
      <w:ind w:firstLine="480" w:firstLineChars="200"/>
    </w:pPr>
    <w:rPr>
      <w:rFonts w:eastAsia="仿宋"/>
      <w:sz w:val="24"/>
      <w:szCs w:val="23"/>
      <w:lang w:eastAsia="ar-SA"/>
    </w:rPr>
  </w:style>
  <w:style w:type="paragraph" w:styleId="3">
    <w:name w:val="Document Map"/>
    <w:basedOn w:val="1"/>
    <w:link w:val="20"/>
    <w:qFormat/>
    <w:uiPriority w:val="0"/>
    <w:rPr>
      <w:rFonts w:ascii="宋体" w:eastAsia="宋体"/>
      <w:sz w:val="18"/>
      <w:szCs w:val="18"/>
    </w:rPr>
  </w:style>
  <w:style w:type="paragraph" w:styleId="4">
    <w:name w:val="Body Text"/>
    <w:basedOn w:val="1"/>
    <w:next w:val="1"/>
    <w:qFormat/>
    <w:uiPriority w:val="0"/>
    <w:pPr>
      <w:spacing w:after="120"/>
    </w:pPr>
  </w:style>
  <w:style w:type="paragraph" w:styleId="5">
    <w:name w:val="Body Text Indent"/>
    <w:basedOn w:val="1"/>
    <w:qFormat/>
    <w:uiPriority w:val="0"/>
    <w:pPr>
      <w:spacing w:after="120"/>
      <w:ind w:left="200" w:leftChars="200"/>
    </w:pPr>
    <w:rPr>
      <w:rFonts w:ascii="仿宋_GB2312"/>
      <w:szCs w:val="32"/>
    </w:rPr>
  </w:style>
  <w:style w:type="paragraph" w:styleId="6">
    <w:name w:val="Balloon Text"/>
    <w:basedOn w:val="1"/>
    <w:semiHidden/>
    <w:qFormat/>
    <w:uiPriority w:val="0"/>
    <w:rPr>
      <w:sz w:val="18"/>
      <w:szCs w:val="18"/>
    </w:rPr>
  </w:style>
  <w:style w:type="paragraph" w:styleId="7">
    <w:name w:val="footer"/>
    <w:basedOn w:val="1"/>
    <w:link w:val="22"/>
    <w:qFormat/>
    <w:uiPriority w:val="99"/>
    <w:pPr>
      <w:tabs>
        <w:tab w:val="center" w:pos="4153"/>
        <w:tab w:val="right" w:pos="8306"/>
      </w:tabs>
      <w:snapToGrid w:val="0"/>
      <w:jc w:val="left"/>
    </w:pPr>
    <w:rPr>
      <w:rFonts w:eastAsia="宋体"/>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9">
    <w:name w:val="toc 1"/>
    <w:basedOn w:val="1"/>
    <w:next w:val="1"/>
    <w:qFormat/>
    <w:uiPriority w:val="0"/>
  </w:style>
  <w:style w:type="paragraph" w:styleId="10">
    <w:name w:val="table of figures"/>
    <w:basedOn w:val="1"/>
    <w:next w:val="1"/>
    <w:qFormat/>
    <w:uiPriority w:val="0"/>
    <w:pPr>
      <w:widowControl w:val="0"/>
      <w:adjustRightInd/>
      <w:snapToGrid/>
      <w:spacing w:after="0"/>
      <w:ind w:left="400" w:leftChars="200" w:hanging="200" w:hangingChars="200"/>
      <w:jc w:val="both"/>
    </w:pPr>
    <w:rPr>
      <w:rFonts w:ascii="Calibri" w:hAnsi="Calibri" w:eastAsia="宋体"/>
      <w:kern w:val="2"/>
      <w:sz w:val="21"/>
      <w:szCs w:val="24"/>
    </w:rPr>
  </w:style>
  <w:style w:type="paragraph" w:styleId="11">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paragraph" w:styleId="12">
    <w:name w:val="Body Text First Indent 2"/>
    <w:basedOn w:val="5"/>
    <w:unhideWhenUsed/>
    <w:qFormat/>
    <w:uiPriority w:val="99"/>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page number"/>
    <w:basedOn w:val="15"/>
    <w:qFormat/>
    <w:uiPriority w:val="0"/>
  </w:style>
  <w:style w:type="paragraph" w:customStyle="1" w:styleId="17">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8">
    <w:name w:val="四号正文"/>
    <w:basedOn w:val="1"/>
    <w:link w:val="19"/>
    <w:qFormat/>
    <w:uiPriority w:val="0"/>
    <w:pPr>
      <w:spacing w:line="360" w:lineRule="auto"/>
    </w:pPr>
    <w:rPr>
      <w:rFonts w:ascii="??" w:hAnsi="??" w:eastAsia="宋体" w:cs="宋体"/>
      <w:color w:val="000000"/>
      <w:kern w:val="0"/>
      <w:sz w:val="28"/>
      <w:szCs w:val="21"/>
    </w:rPr>
  </w:style>
  <w:style w:type="character" w:customStyle="1" w:styleId="19">
    <w:name w:val="四号正文 Char"/>
    <w:basedOn w:val="15"/>
    <w:link w:val="18"/>
    <w:qFormat/>
    <w:uiPriority w:val="0"/>
    <w:rPr>
      <w:rFonts w:ascii="??" w:hAnsi="??" w:eastAsia="宋体" w:cs="宋体"/>
      <w:color w:val="000000"/>
      <w:sz w:val="28"/>
      <w:szCs w:val="21"/>
      <w:lang w:val="en-US" w:eastAsia="zh-CN" w:bidi="ar-SA"/>
    </w:rPr>
  </w:style>
  <w:style w:type="character" w:customStyle="1" w:styleId="20">
    <w:name w:val="文档结构图 Char"/>
    <w:basedOn w:val="15"/>
    <w:link w:val="3"/>
    <w:qFormat/>
    <w:uiPriority w:val="0"/>
    <w:rPr>
      <w:rFonts w:ascii="宋体"/>
      <w:kern w:val="2"/>
      <w:sz w:val="18"/>
      <w:szCs w:val="18"/>
    </w:rPr>
  </w:style>
  <w:style w:type="paragraph" w:customStyle="1" w:styleId="21">
    <w:name w:val="a"/>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2">
    <w:name w:val="页脚 Char"/>
    <w:basedOn w:val="15"/>
    <w:link w:val="7"/>
    <w:qFormat/>
    <w:uiPriority w:val="99"/>
    <w:rPr>
      <w:kern w:val="2"/>
      <w:sz w:val="18"/>
      <w:szCs w:val="18"/>
    </w:rPr>
  </w:style>
  <w:style w:type="character" w:customStyle="1" w:styleId="23">
    <w:name w:val="font31"/>
    <w:basedOn w:val="15"/>
    <w:qFormat/>
    <w:uiPriority w:val="0"/>
    <w:rPr>
      <w:rFonts w:hint="eastAsia" w:ascii="宋体" w:hAnsi="宋体" w:eastAsia="宋体" w:cs="宋体"/>
      <w:color w:val="000000"/>
      <w:sz w:val="24"/>
      <w:szCs w:val="24"/>
      <w:u w:val="none"/>
    </w:rPr>
  </w:style>
  <w:style w:type="character" w:customStyle="1" w:styleId="24">
    <w:name w:val="font51"/>
    <w:basedOn w:val="15"/>
    <w:qFormat/>
    <w:uiPriority w:val="0"/>
    <w:rPr>
      <w:rFonts w:hint="default" w:ascii="Wingdings 2" w:hAnsi="Wingdings 2" w:eastAsia="Wingdings 2" w:cs="Wingdings 2"/>
      <w:color w:val="000000"/>
      <w:sz w:val="18"/>
      <w:szCs w:val="18"/>
      <w:u w:val="none"/>
    </w:rPr>
  </w:style>
  <w:style w:type="character" w:customStyle="1" w:styleId="25">
    <w:name w:val="font01"/>
    <w:basedOn w:val="15"/>
    <w:qFormat/>
    <w:uiPriority w:val="0"/>
    <w:rPr>
      <w:rFonts w:ascii="宋体" w:hAnsi="宋体" w:eastAsia="宋体" w:cs="宋体"/>
      <w:color w:val="000000"/>
      <w:sz w:val="18"/>
      <w:szCs w:val="18"/>
      <w:u w:val="none"/>
    </w:rPr>
  </w:style>
  <w:style w:type="character" w:customStyle="1" w:styleId="26">
    <w:name w:val="font41"/>
    <w:basedOn w:val="15"/>
    <w:qFormat/>
    <w:uiPriority w:val="0"/>
    <w:rPr>
      <w:rFonts w:ascii="宋体" w:hAnsi="宋体" w:eastAsia="宋体" w:cs="宋体"/>
      <w:color w:val="000000"/>
      <w:sz w:val="18"/>
      <w:szCs w:val="18"/>
      <w:u w:val="none"/>
    </w:rPr>
  </w:style>
  <w:style w:type="character" w:customStyle="1" w:styleId="27">
    <w:name w:val="NormalCharacter"/>
    <w:link w:val="1"/>
    <w:semiHidden/>
    <w:qFormat/>
    <w:uiPriority w:val="0"/>
    <w:rPr>
      <w:rFonts w:ascii="Times New Roman" w:hAnsi="Times New Roman" w:eastAsia="仿宋_GB2312"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PSZX</Company>
  <Pages>12</Pages>
  <Words>5123</Words>
  <Characters>5356</Characters>
  <Lines>20</Lines>
  <Paragraphs>5</Paragraphs>
  <TotalTime>12</TotalTime>
  <ScaleCrop>false</ScaleCrop>
  <LinksUpToDate>false</LinksUpToDate>
  <CharactersWithSpaces>5390</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2024-07-29T19:30:00Z</dcterms:created>
  <dc:creator>陈萍</dc:creator>
  <cp:lastModifiedBy>user</cp:lastModifiedBy>
  <cp:lastPrinted>2016-02-16T00:25:00Z</cp:lastPrinted>
  <dcterms:modified xsi:type="dcterms:W3CDTF">2025-08-27T16:30:53Z</dcterms:modified>
  <dc:title>区域性就业培训基地建设项目</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6FCDD71D121148538C7A22140D3BE800_13</vt:lpwstr>
  </property>
  <property fmtid="{D5CDD505-2E9C-101B-9397-08002B2CF9AE}" pid="4" name="KSOTemplateDocerSaveRecord">
    <vt:lpwstr>eyJoZGlkIjoiZmViODExNDI1YTdkMWI1MzUzMTczOTEzNmQ3OGI1MTAiLCJ1c2VySWQiOiIzNzA2Mzk3MTYifQ==</vt:lpwstr>
  </property>
</Properties>
</file>