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51" w:lineRule="auto"/>
      </w:pPr>
    </w:p>
    <w:p>
      <w:pPr>
        <w:pStyle w:val="2"/>
        <w:spacing w:line="251" w:lineRule="auto"/>
      </w:pPr>
    </w:p>
    <w:p>
      <w:pPr>
        <w:pStyle w:val="2"/>
        <w:spacing w:line="3637" w:lineRule="exact"/>
      </w:pPr>
      <w:r>
        <w:rPr>
          <w:position w:val="-72"/>
        </w:rPr>
        <w:pict>
          <v:group id="_x0000_s1026" o:spid="_x0000_s1026" o:spt="203" style="height:181.85pt;width:424.5pt;" coordsize="8490,3637">
            <o:lock v:ext="edit"/>
            <v:shape id="_x0000_s1027" o:spid="_x0000_s1027" o:spt="75" type="#_x0000_t75" style="position:absolute;left:0;top:0;height:3637;width:8490;" filled="f" stroked="f" coordsize="21600,21600">
              <v:path/>
              <v:fill on="f" focussize="0,0"/>
              <v:stroke on="f"/>
              <v:imagedata r:id="rId6" o:title=""/>
              <o:lock v:ext="edit" aspectratio="t"/>
            </v:shape>
            <v:shape id="_x0000_s1028" o:spid="_x0000_s1028" o:spt="202" type="#_x0000_t202" style="position:absolute;left:-20;top:-20;height:3677;width:853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04" w:line="222" w:lineRule="auto"/>
                      <w:ind w:left="2145"/>
                      <w:rPr>
                        <w:rFonts w:ascii="FangSong" w:hAnsi="FangSong" w:eastAsia="FangSong" w:cs="FangSong"/>
                        <w:sz w:val="32"/>
                        <w:szCs w:val="32"/>
                      </w:rPr>
                    </w:pPr>
                    <w:r>
                      <w:rPr>
                        <w:rFonts w:ascii="FangSong" w:hAnsi="FangSong" w:eastAsia="FangSong" w:cs="FangSong"/>
                        <w:spacing w:val="-3"/>
                        <w:sz w:val="32"/>
                        <w:szCs w:val="32"/>
                      </w:rPr>
                      <w:t>黑史志中心〔2026〕10</w:t>
                    </w:r>
                    <w:r>
                      <w:rPr>
                        <w:rFonts w:ascii="FangSong" w:hAnsi="FangSong" w:eastAsia="FangSong" w:cs="FangSong"/>
                        <w:spacing w:val="-43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FangSong" w:hAnsi="FangSong" w:eastAsia="FangSong" w:cs="FangSong"/>
                        <w:spacing w:val="-3"/>
                        <w:sz w:val="32"/>
                        <w:szCs w:val="32"/>
                      </w:rPr>
                      <w:t>号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pStyle w:val="2"/>
        <w:spacing w:line="307" w:lineRule="auto"/>
      </w:pPr>
    </w:p>
    <w:p>
      <w:pPr>
        <w:pStyle w:val="2"/>
        <w:spacing w:line="307" w:lineRule="auto"/>
      </w:pPr>
    </w:p>
    <w:p>
      <w:pPr>
        <w:pStyle w:val="2"/>
        <w:spacing w:line="307" w:lineRule="auto"/>
      </w:pPr>
    </w:p>
    <w:p>
      <w:pPr>
        <w:spacing w:before="189" w:line="175" w:lineRule="auto"/>
        <w:ind w:left="1088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3"/>
          <w:sz w:val="44"/>
          <w:szCs w:val="44"/>
        </w:rPr>
        <w:t>黑水县党史研究和地方志编纂中心</w:t>
      </w:r>
    </w:p>
    <w:p>
      <w:pPr>
        <w:spacing w:before="6" w:line="175" w:lineRule="auto"/>
        <w:ind w:left="1320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7"/>
          <w:sz w:val="44"/>
          <w:szCs w:val="44"/>
        </w:rPr>
        <w:t>2025  年项目支出绩效自评报告</w:t>
      </w:r>
    </w:p>
    <w:p>
      <w:pPr>
        <w:spacing w:before="18" w:line="188" w:lineRule="auto"/>
        <w:ind w:left="2225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3"/>
          <w:sz w:val="44"/>
          <w:szCs w:val="44"/>
        </w:rPr>
        <w:t>(口述历史纪录片项目)</w:t>
      </w:r>
    </w:p>
    <w:p>
      <w:pPr>
        <w:pStyle w:val="2"/>
        <w:spacing w:line="282" w:lineRule="auto"/>
      </w:pPr>
    </w:p>
    <w:p>
      <w:pPr>
        <w:pStyle w:val="2"/>
        <w:spacing w:line="283" w:lineRule="auto"/>
      </w:pPr>
    </w:p>
    <w:p>
      <w:pPr>
        <w:spacing w:before="104" w:line="222" w:lineRule="auto"/>
        <w:ind w:left="839"/>
        <w:outlineLvl w:val="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7"/>
          <w:sz w:val="32"/>
          <w:szCs w:val="32"/>
        </w:rPr>
        <w:t>一、项目概况</w:t>
      </w:r>
    </w:p>
    <w:p>
      <w:pPr>
        <w:spacing w:before="239" w:line="222" w:lineRule="auto"/>
        <w:ind w:left="834"/>
        <w:outlineLvl w:val="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4"/>
          <w:sz w:val="32"/>
          <w:szCs w:val="32"/>
        </w:rPr>
        <w:t>（一）设立背景及基本情况。</w:t>
      </w:r>
    </w:p>
    <w:p>
      <w:pPr>
        <w:spacing w:before="239" w:line="222" w:lineRule="auto"/>
        <w:ind w:left="847"/>
        <w:outlineLvl w:val="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6"/>
          <w:sz w:val="32"/>
          <w:szCs w:val="32"/>
        </w:rPr>
        <w:t>1.项目设立原因及背景</w:t>
      </w:r>
    </w:p>
    <w:p>
      <w:pPr>
        <w:spacing w:before="242" w:line="360" w:lineRule="auto"/>
        <w:ind w:left="194" w:right="14" w:firstLine="697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7"/>
          <w:sz w:val="32"/>
          <w:szCs w:val="32"/>
        </w:rPr>
        <w:t>口述历史纪录片将最古老的“说历史</w:t>
      </w:r>
      <w:r>
        <w:rPr>
          <w:rFonts w:ascii="FangSong" w:hAnsi="FangSong" w:eastAsia="FangSong" w:cs="FangSong"/>
          <w:spacing w:val="-118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7"/>
          <w:sz w:val="32"/>
          <w:szCs w:val="32"/>
        </w:rPr>
        <w:t>”“听</w:t>
      </w:r>
      <w:r>
        <w:rPr>
          <w:rFonts w:ascii="FangSong" w:hAnsi="FangSong" w:eastAsia="FangSong" w:cs="FangSong"/>
          <w:spacing w:val="-8"/>
          <w:sz w:val="32"/>
          <w:szCs w:val="32"/>
        </w:rPr>
        <w:t>历史</w:t>
      </w:r>
      <w:r>
        <w:rPr>
          <w:rFonts w:ascii="FangSong" w:hAnsi="FangSong" w:eastAsia="FangSong" w:cs="FangSong"/>
          <w:spacing w:val="-117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8"/>
          <w:sz w:val="32"/>
          <w:szCs w:val="32"/>
        </w:rPr>
        <w:t>”的</w:t>
      </w:r>
      <w:r>
        <w:rPr>
          <w:rFonts w:ascii="FangSong" w:hAnsi="FangSong" w:eastAsia="FangSong" w:cs="FangSong"/>
          <w:spacing w:val="-1"/>
          <w:sz w:val="32"/>
          <w:szCs w:val="32"/>
        </w:rPr>
        <w:t>治史方式与影视传媒的文本创作结合起来,变过去历史纪录片的宏观叙事为第一人称的个体微观叙事,以故事亲历者的</w:t>
      </w:r>
      <w:r>
        <w:rPr>
          <w:rFonts w:ascii="FangSong" w:hAnsi="FangSong" w:eastAsia="FangSong" w:cs="FangSong"/>
          <w:spacing w:val="-2"/>
          <w:sz w:val="32"/>
          <w:szCs w:val="32"/>
        </w:rPr>
        <w:t>口述取代客观、精准的史料。口述历史纪录片的话语具有故</w:t>
      </w:r>
      <w:r>
        <w:rPr>
          <w:rFonts w:ascii="FangSong" w:hAnsi="FangSong" w:eastAsia="FangSong" w:cs="FangSong"/>
          <w:spacing w:val="-1"/>
          <w:sz w:val="32"/>
          <w:szCs w:val="32"/>
        </w:rPr>
        <w:t>事化、情感化、碎片化的特点,节目制作者试图挖掘历史背后的故事,讲述与教科书不一样的历史。口述历史题材纪录片常常隐藏着很深的政治意识,过去历史纪录片就通常被用</w:t>
      </w:r>
    </w:p>
    <w:p>
      <w:pPr>
        <w:spacing w:line="360" w:lineRule="auto"/>
        <w:rPr>
          <w:rFonts w:ascii="FangSong" w:hAnsi="FangSong" w:eastAsia="FangSong" w:cs="FangSong"/>
          <w:sz w:val="32"/>
          <w:szCs w:val="32"/>
        </w:rPr>
        <w:sectPr>
          <w:pgSz w:w="11906" w:h="16839"/>
          <w:pgMar w:top="1431" w:right="1785" w:bottom="0" w:left="1627" w:header="0" w:footer="0" w:gutter="0"/>
          <w:cols w:space="720" w:num="1"/>
        </w:sectPr>
      </w:pPr>
    </w:p>
    <w:p>
      <w:pPr>
        <w:spacing w:before="161" w:line="360" w:lineRule="auto"/>
        <w:ind w:left="34" w:firstLine="2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来承担政治宣传的任务。研究黑水历史的主流意识形态建构,不仅可以帮助我们了解当地历史、民族、文化的意识形态话</w:t>
      </w:r>
      <w:r>
        <w:rPr>
          <w:rFonts w:ascii="FangSong" w:hAnsi="FangSong" w:eastAsia="FangSong" w:cs="FangSong"/>
          <w:spacing w:val="-3"/>
          <w:sz w:val="32"/>
          <w:szCs w:val="32"/>
        </w:rPr>
        <w:t>语，还可以解读个人命运在宏大的历史紧密相连。</w:t>
      </w:r>
    </w:p>
    <w:p>
      <w:pPr>
        <w:spacing w:before="2" w:line="222" w:lineRule="auto"/>
        <w:ind w:left="669"/>
        <w:outlineLvl w:val="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4"/>
          <w:sz w:val="32"/>
          <w:szCs w:val="32"/>
        </w:rPr>
        <w:t>2.项目立项、资金申报的依据</w:t>
      </w:r>
    </w:p>
    <w:p>
      <w:pPr>
        <w:spacing w:before="238" w:line="360" w:lineRule="auto"/>
        <w:ind w:left="35" w:right="159" w:firstLine="633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1"/>
          <w:sz w:val="32"/>
          <w:szCs w:val="32"/>
        </w:rPr>
        <w:t>2025 年我中心围绕县委、县政府和州党史研究室及州</w:t>
      </w:r>
      <w:r>
        <w:rPr>
          <w:rFonts w:ascii="FangSong" w:hAnsi="FangSong" w:eastAsia="FangSong" w:cs="FangSong"/>
          <w:spacing w:val="-2"/>
          <w:sz w:val="32"/>
          <w:szCs w:val="32"/>
        </w:rPr>
        <w:t>地方志办工作部署，按照高质量发展要求，依规编史、依法治志，把党史姓党、方志姓社的原则和“为党立言、为国存</w:t>
      </w:r>
      <w:r>
        <w:rPr>
          <w:rFonts w:ascii="FangSong" w:hAnsi="FangSong" w:eastAsia="FangSong" w:cs="FangSong"/>
          <w:spacing w:val="-3"/>
          <w:sz w:val="32"/>
          <w:szCs w:val="32"/>
        </w:rPr>
        <w:t>史、为民修志</w:t>
      </w:r>
      <w:r>
        <w:rPr>
          <w:rFonts w:ascii="FangSong" w:hAnsi="FangSong" w:eastAsia="FangSong" w:cs="FangSong"/>
          <w:spacing w:val="-118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3"/>
          <w:sz w:val="32"/>
          <w:szCs w:val="32"/>
        </w:rPr>
        <w:t>”的理念自觉落实到各项具体业务工作中，全</w:t>
      </w:r>
      <w:r>
        <w:rPr>
          <w:rFonts w:ascii="FangSong" w:hAnsi="FangSong" w:eastAsia="FangSong" w:cs="FangSong"/>
          <w:spacing w:val="-2"/>
          <w:sz w:val="32"/>
          <w:szCs w:val="32"/>
        </w:rPr>
        <w:t>面履行职能职责。申报年鉴、执政实录、口诉历史纪录片编</w:t>
      </w:r>
      <w:r>
        <w:rPr>
          <w:rFonts w:ascii="FangSong" w:hAnsi="FangSong" w:eastAsia="FangSong" w:cs="FangSong"/>
          <w:spacing w:val="-5"/>
          <w:sz w:val="32"/>
          <w:szCs w:val="32"/>
        </w:rPr>
        <w:t>辑等项目资金</w:t>
      </w:r>
      <w:r>
        <w:rPr>
          <w:rFonts w:ascii="FangSong" w:hAnsi="FangSong" w:eastAsia="FangSong" w:cs="FangSong"/>
          <w:spacing w:val="-4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13</w:t>
      </w:r>
      <w:r>
        <w:rPr>
          <w:rFonts w:ascii="FangSong" w:hAnsi="FangSong" w:eastAsia="FangSong" w:cs="FangSong"/>
          <w:spacing w:val="-56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万元，获批资金</w:t>
      </w:r>
      <w:r>
        <w:rPr>
          <w:rFonts w:ascii="FangSong" w:hAnsi="FangSong" w:eastAsia="FangSong" w:cs="FangSong"/>
          <w:spacing w:val="-4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11.95</w:t>
      </w:r>
      <w:r>
        <w:rPr>
          <w:rFonts w:ascii="FangSong" w:hAnsi="FangSong" w:eastAsia="FangSong" w:cs="FangSong"/>
          <w:spacing w:val="-57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万元，保证了党史</w:t>
      </w:r>
      <w:r>
        <w:rPr>
          <w:rFonts w:ascii="FangSong" w:hAnsi="FangSong" w:eastAsia="FangSong" w:cs="FangSong"/>
          <w:spacing w:val="-4"/>
          <w:sz w:val="32"/>
          <w:szCs w:val="32"/>
        </w:rPr>
        <w:t>志编工作年度目标任务的实现；完成 2025</w:t>
      </w:r>
      <w:r>
        <w:rPr>
          <w:rFonts w:ascii="FangSong" w:hAnsi="FangSong" w:eastAsia="FangSong" w:cs="FangSong"/>
          <w:spacing w:val="-48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4"/>
          <w:sz w:val="32"/>
          <w:szCs w:val="32"/>
        </w:rPr>
        <w:t>年既定目标；</w:t>
      </w:r>
    </w:p>
    <w:p>
      <w:pPr>
        <w:spacing w:line="222" w:lineRule="auto"/>
        <w:ind w:left="671"/>
        <w:outlineLvl w:val="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5"/>
          <w:sz w:val="32"/>
          <w:szCs w:val="32"/>
        </w:rPr>
        <w:t>3.项目主要内容</w:t>
      </w:r>
    </w:p>
    <w:p>
      <w:pPr>
        <w:spacing w:before="238" w:line="222" w:lineRule="auto"/>
        <w:ind w:left="669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2025</w:t>
      </w:r>
      <w:r>
        <w:rPr>
          <w:rFonts w:ascii="FangSong" w:hAnsi="FangSong" w:eastAsia="FangSong" w:cs="FangSong"/>
          <w:spacing w:val="-4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2"/>
          <w:sz w:val="32"/>
          <w:szCs w:val="32"/>
        </w:rPr>
        <w:t>完成《高原守望-碉楼文明》口述历史纪录片下集</w:t>
      </w:r>
    </w:p>
    <w:p>
      <w:pPr>
        <w:spacing w:before="239" w:line="222" w:lineRule="auto"/>
        <w:ind w:left="664"/>
        <w:outlineLvl w:val="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4"/>
          <w:sz w:val="32"/>
          <w:szCs w:val="32"/>
        </w:rPr>
        <w:t>4.主管部门职能</w:t>
      </w:r>
    </w:p>
    <w:p>
      <w:pPr>
        <w:spacing w:before="239" w:line="360" w:lineRule="auto"/>
        <w:ind w:left="41" w:right="159" w:firstLine="645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我单位承担专项资金绩效管理的主体责任，主要负责提出专项资金分配方案，制定项目管理制度，组织项目评审和</w:t>
      </w:r>
      <w:r>
        <w:rPr>
          <w:rFonts w:ascii="FangSong" w:hAnsi="FangSong" w:eastAsia="FangSong" w:cs="FangSong"/>
          <w:spacing w:val="-3"/>
          <w:sz w:val="32"/>
          <w:szCs w:val="32"/>
        </w:rPr>
        <w:t>实施，开展项目验收、绩效评价和监督检查等工作。</w:t>
      </w:r>
    </w:p>
    <w:p>
      <w:pPr>
        <w:spacing w:before="1" w:line="222" w:lineRule="auto"/>
        <w:ind w:left="675"/>
        <w:outlineLvl w:val="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4"/>
          <w:sz w:val="32"/>
          <w:szCs w:val="32"/>
        </w:rPr>
        <w:t>（二）实施目的及支持方向。</w:t>
      </w:r>
    </w:p>
    <w:p>
      <w:pPr>
        <w:spacing w:before="238" w:line="222" w:lineRule="auto"/>
        <w:ind w:left="688"/>
        <w:outlineLvl w:val="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5"/>
          <w:sz w:val="32"/>
          <w:szCs w:val="32"/>
        </w:rPr>
        <w:t>1.项目资金管理办法制定情况</w:t>
      </w:r>
    </w:p>
    <w:p>
      <w:pPr>
        <w:spacing w:before="240" w:line="360" w:lineRule="auto"/>
        <w:ind w:left="52" w:right="159" w:firstLine="633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我单位结合实际制定和完善了项目资金管理办法，项目</w:t>
      </w:r>
      <w:r>
        <w:rPr>
          <w:rFonts w:ascii="FangSong" w:hAnsi="FangSong" w:eastAsia="FangSong" w:cs="FangSong"/>
          <w:spacing w:val="-9"/>
          <w:sz w:val="32"/>
          <w:szCs w:val="32"/>
        </w:rPr>
        <w:t>管理办法有效执行。</w:t>
      </w:r>
    </w:p>
    <w:p>
      <w:pPr>
        <w:spacing w:line="220" w:lineRule="auto"/>
        <w:ind w:left="669"/>
        <w:outlineLvl w:val="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3"/>
          <w:sz w:val="32"/>
          <w:szCs w:val="32"/>
        </w:rPr>
        <w:t>2.</w:t>
      </w:r>
      <w:r>
        <w:rPr>
          <w:rFonts w:ascii="FangSong" w:hAnsi="FangSong" w:eastAsia="FangSong" w:cs="FangSong"/>
          <w:spacing w:val="-3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3"/>
          <w:sz w:val="32"/>
          <w:szCs w:val="32"/>
        </w:rPr>
        <w:t>项目实施目的和主要工作任务</w:t>
      </w:r>
    </w:p>
    <w:p>
      <w:pPr>
        <w:spacing w:line="220" w:lineRule="auto"/>
        <w:rPr>
          <w:rFonts w:ascii="FangSong" w:hAnsi="FangSong" w:eastAsia="FangSong" w:cs="FangSong"/>
          <w:sz w:val="32"/>
          <w:szCs w:val="32"/>
        </w:rPr>
        <w:sectPr>
          <w:pgSz w:w="11906" w:h="16839"/>
          <w:pgMar w:top="1431" w:right="1640" w:bottom="0" w:left="1785" w:header="0" w:footer="0" w:gutter="0"/>
          <w:cols w:space="720" w:num="1"/>
        </w:sectPr>
      </w:pPr>
    </w:p>
    <w:p>
      <w:pPr>
        <w:spacing w:before="163" w:line="222" w:lineRule="auto"/>
        <w:ind w:left="669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3"/>
          <w:sz w:val="32"/>
          <w:szCs w:val="32"/>
        </w:rPr>
        <w:t>2025</w:t>
      </w:r>
      <w:r>
        <w:rPr>
          <w:rFonts w:ascii="FangSong" w:hAnsi="FangSong" w:eastAsia="FangSong" w:cs="FangSong"/>
          <w:spacing w:val="-52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3"/>
          <w:sz w:val="32"/>
          <w:szCs w:val="32"/>
        </w:rPr>
        <w:t>完成《高原守望  碉楼文明》口述历史</w:t>
      </w:r>
      <w:r>
        <w:rPr>
          <w:rFonts w:ascii="FangSong" w:hAnsi="FangSong" w:eastAsia="FangSong" w:cs="FangSong"/>
          <w:spacing w:val="-4"/>
          <w:sz w:val="32"/>
          <w:szCs w:val="32"/>
        </w:rPr>
        <w:t>纪录片。</w:t>
      </w:r>
    </w:p>
    <w:p>
      <w:pPr>
        <w:spacing w:before="238" w:line="360" w:lineRule="auto"/>
        <w:ind w:left="34" w:right="113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5"/>
          <w:sz w:val="32"/>
          <w:szCs w:val="32"/>
        </w:rPr>
        <w:t>述历史纪录片将最古老的“说历史</w:t>
      </w:r>
      <w:r>
        <w:rPr>
          <w:rFonts w:ascii="FangSong" w:hAnsi="FangSong" w:eastAsia="FangSong" w:cs="FangSong"/>
          <w:spacing w:val="-106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”“听历史</w:t>
      </w:r>
      <w:r>
        <w:rPr>
          <w:rFonts w:ascii="FangSong" w:hAnsi="FangSong" w:eastAsia="FangSong" w:cs="FangSong"/>
          <w:spacing w:val="-117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”的治史方式</w:t>
      </w:r>
      <w:r>
        <w:rPr>
          <w:rFonts w:ascii="FangSong" w:hAnsi="FangSong" w:eastAsia="FangSong" w:cs="FangSong"/>
          <w:spacing w:val="-1"/>
          <w:sz w:val="32"/>
          <w:szCs w:val="32"/>
        </w:rPr>
        <w:t>与影视传媒的文本创作结合起来,变过去历史纪录片的宏观叙事为第一人称的个体微观叙事,以故事亲历者的口述取代</w:t>
      </w:r>
      <w:r>
        <w:rPr>
          <w:rFonts w:ascii="FangSong" w:hAnsi="FangSong" w:eastAsia="FangSong" w:cs="FangSong"/>
          <w:spacing w:val="-2"/>
          <w:sz w:val="32"/>
          <w:szCs w:val="32"/>
        </w:rPr>
        <w:t>客观、精准的史料。口述历史纪录片的话语具有故事化、情</w:t>
      </w:r>
      <w:r>
        <w:rPr>
          <w:rFonts w:ascii="FangSong" w:hAnsi="FangSong" w:eastAsia="FangSong" w:cs="FangSong"/>
          <w:spacing w:val="15"/>
          <w:sz w:val="32"/>
          <w:szCs w:val="32"/>
        </w:rPr>
        <w:t>感化、碎片化的特点</w:t>
      </w:r>
      <w:r>
        <w:rPr>
          <w:rFonts w:ascii="FangSong" w:hAnsi="FangSong" w:eastAsia="FangSong" w:cs="FangSong"/>
          <w:spacing w:val="-91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15"/>
          <w:sz w:val="32"/>
          <w:szCs w:val="32"/>
        </w:rPr>
        <w:t>,节目制作者试图挖掘历史背后的故</w:t>
      </w:r>
      <w:r>
        <w:rPr>
          <w:rFonts w:ascii="FangSong" w:hAnsi="FangSong" w:eastAsia="FangSong" w:cs="FangSong"/>
          <w:spacing w:val="-11"/>
          <w:sz w:val="32"/>
          <w:szCs w:val="32"/>
        </w:rPr>
        <w:t>事,</w:t>
      </w:r>
      <w:r>
        <w:rPr>
          <w:rFonts w:ascii="FangSong" w:hAnsi="FangSong" w:eastAsia="FangSong" w:cs="FangSong"/>
          <w:sz w:val="32"/>
          <w:szCs w:val="32"/>
        </w:rPr>
        <w:t xml:space="preserve">                                               </w:t>
      </w:r>
      <w:r>
        <w:rPr>
          <w:rFonts w:ascii="FangSong" w:hAnsi="FangSong" w:eastAsia="FangSong" w:cs="FangSong"/>
          <w:spacing w:val="-2"/>
          <w:sz w:val="32"/>
          <w:szCs w:val="32"/>
        </w:rPr>
        <w:t>讲述与教科书不一样的历史。口述历史题材纪录片常常隐藏</w:t>
      </w:r>
      <w:r>
        <w:rPr>
          <w:rFonts w:ascii="FangSong" w:hAnsi="FangSong" w:eastAsia="FangSong" w:cs="FangSong"/>
          <w:spacing w:val="-1"/>
          <w:sz w:val="32"/>
          <w:szCs w:val="32"/>
        </w:rPr>
        <w:t>着很深的政治意识,过去历史纪录片就通常被用来承担政治宣传的任务。研究黑水历史的主流意识形态建构,不仅可以</w:t>
      </w:r>
      <w:r>
        <w:rPr>
          <w:rFonts w:ascii="FangSong" w:hAnsi="FangSong" w:eastAsia="FangSong" w:cs="FangSong"/>
          <w:spacing w:val="-3"/>
          <w:sz w:val="32"/>
          <w:szCs w:val="32"/>
        </w:rPr>
        <w:t>帮助我们了解当地历史、民族、文化的意识形态话语。</w:t>
      </w:r>
    </w:p>
    <w:p>
      <w:pPr>
        <w:spacing w:line="222" w:lineRule="auto"/>
        <w:ind w:left="671"/>
        <w:outlineLvl w:val="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5"/>
          <w:sz w:val="32"/>
          <w:szCs w:val="32"/>
        </w:rPr>
        <w:t>3.项目支持方向</w:t>
      </w:r>
    </w:p>
    <w:p>
      <w:pPr>
        <w:spacing w:before="238" w:line="360" w:lineRule="auto"/>
        <w:ind w:left="35" w:right="117" w:firstLine="64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1"/>
          <w:sz w:val="32"/>
          <w:szCs w:val="32"/>
        </w:rPr>
        <w:t>项目申报根据四川省党史研究室关于加强和改进新形</w:t>
      </w:r>
      <w:r>
        <w:rPr>
          <w:rFonts w:ascii="FangSong" w:hAnsi="FangSong" w:eastAsia="FangSong" w:cs="FangSong"/>
          <w:spacing w:val="-3"/>
          <w:sz w:val="32"/>
          <w:szCs w:val="32"/>
        </w:rPr>
        <w:t>势下党史工作的相关文件精神；阿坝州人民政府办公室《阿</w:t>
      </w:r>
      <w:r>
        <w:rPr>
          <w:rFonts w:ascii="FangSong" w:hAnsi="FangSong" w:eastAsia="FangSong" w:cs="FangSong"/>
          <w:spacing w:val="-5"/>
          <w:sz w:val="32"/>
          <w:szCs w:val="32"/>
        </w:rPr>
        <w:t>坝州人民政府办公室关于印发〈阿坝州</w:t>
      </w:r>
      <w:r>
        <w:rPr>
          <w:rFonts w:ascii="FangSong" w:hAnsi="FangSong" w:eastAsia="FangSong" w:cs="FangSong"/>
          <w:spacing w:val="-109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“十四五</w:t>
      </w:r>
      <w:r>
        <w:rPr>
          <w:rFonts w:ascii="FangSong" w:hAnsi="FangSong" w:eastAsia="FangSong" w:cs="FangSong"/>
          <w:spacing w:val="-118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”地方志事业发展规划〉的通知》阿府办函〔2022〕46</w:t>
      </w:r>
      <w:r>
        <w:rPr>
          <w:rFonts w:ascii="FangSong" w:hAnsi="FangSong" w:eastAsia="FangSong" w:cs="FangSong"/>
          <w:spacing w:val="-52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号文件精神，同</w:t>
      </w:r>
      <w:r>
        <w:rPr>
          <w:rFonts w:ascii="FangSong" w:hAnsi="FangSong" w:eastAsia="FangSong" w:cs="FangSong"/>
          <w:spacing w:val="-3"/>
          <w:sz w:val="32"/>
          <w:szCs w:val="32"/>
        </w:rPr>
        <w:t>时结合州县主管部门相关年度目标任务和黑水县实际进行。</w:t>
      </w:r>
    </w:p>
    <w:p>
      <w:pPr>
        <w:spacing w:before="1" w:line="221" w:lineRule="auto"/>
        <w:ind w:left="675"/>
        <w:outlineLvl w:val="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4"/>
          <w:sz w:val="32"/>
          <w:szCs w:val="32"/>
        </w:rPr>
        <w:t>（三）预算安排及分配管理。</w:t>
      </w:r>
    </w:p>
    <w:p>
      <w:pPr>
        <w:spacing w:before="240" w:line="222" w:lineRule="auto"/>
        <w:ind w:left="688"/>
        <w:outlineLvl w:val="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6"/>
          <w:sz w:val="32"/>
          <w:szCs w:val="32"/>
        </w:rPr>
        <w:t>1.项目预算安排情况</w:t>
      </w:r>
    </w:p>
    <w:p>
      <w:pPr>
        <w:spacing w:before="239" w:line="360" w:lineRule="auto"/>
        <w:ind w:left="51" w:firstLine="624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12"/>
          <w:sz w:val="32"/>
          <w:szCs w:val="32"/>
        </w:rPr>
        <w:t>项目预算申报资金</w:t>
      </w:r>
      <w:r>
        <w:rPr>
          <w:rFonts w:ascii="FangSong" w:hAnsi="FangSong" w:eastAsia="FangSong" w:cs="FangSong"/>
          <w:spacing w:val="-44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2"/>
          <w:sz w:val="32"/>
          <w:szCs w:val="32"/>
        </w:rPr>
        <w:t>12.95</w:t>
      </w:r>
      <w:r>
        <w:rPr>
          <w:rFonts w:ascii="FangSong" w:hAnsi="FangSong" w:eastAsia="FangSong" w:cs="FangSong"/>
          <w:spacing w:val="-60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2"/>
          <w:sz w:val="32"/>
          <w:szCs w:val="32"/>
        </w:rPr>
        <w:t>万元，批批复资金</w:t>
      </w:r>
      <w:r>
        <w:rPr>
          <w:rFonts w:ascii="FangSong" w:hAnsi="FangSong" w:eastAsia="FangSong" w:cs="FangSong"/>
          <w:spacing w:val="-49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2"/>
          <w:sz w:val="32"/>
          <w:szCs w:val="32"/>
        </w:rPr>
        <w:t>12.95</w:t>
      </w:r>
      <w:r>
        <w:rPr>
          <w:rFonts w:ascii="FangSong" w:hAnsi="FangSong" w:eastAsia="FangSong" w:cs="FangSong"/>
          <w:spacing w:val="-60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2"/>
          <w:sz w:val="32"/>
          <w:szCs w:val="32"/>
        </w:rPr>
        <w:t>万元。</w:t>
      </w:r>
      <w:r>
        <w:rPr>
          <w:rFonts w:ascii="FangSong" w:hAnsi="FangSong" w:eastAsia="FangSong" w:cs="FangSong"/>
          <w:spacing w:val="-4"/>
          <w:sz w:val="32"/>
          <w:szCs w:val="32"/>
        </w:rPr>
        <w:t>资金资金到位率、到位及时性为</w:t>
      </w:r>
      <w:r>
        <w:rPr>
          <w:rFonts w:ascii="FangSong" w:hAnsi="FangSong" w:eastAsia="FangSong" w:cs="FangSong"/>
          <w:spacing w:val="-43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4"/>
          <w:sz w:val="32"/>
          <w:szCs w:val="32"/>
        </w:rPr>
        <w:t>100%。</w:t>
      </w:r>
    </w:p>
    <w:p>
      <w:pPr>
        <w:spacing w:before="1" w:line="222" w:lineRule="auto"/>
        <w:ind w:left="669"/>
        <w:outlineLvl w:val="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4"/>
          <w:sz w:val="32"/>
          <w:szCs w:val="32"/>
        </w:rPr>
        <w:t>2.项目资金分配原则及考虑因素</w:t>
      </w:r>
    </w:p>
    <w:p>
      <w:pPr>
        <w:spacing w:line="222" w:lineRule="auto"/>
        <w:rPr>
          <w:rFonts w:ascii="FangSong" w:hAnsi="FangSong" w:eastAsia="FangSong" w:cs="FangSong"/>
          <w:sz w:val="32"/>
          <w:szCs w:val="32"/>
        </w:rPr>
        <w:sectPr>
          <w:pgSz w:w="11906" w:h="16839"/>
          <w:pgMar w:top="1431" w:right="1682" w:bottom="0" w:left="1785" w:header="0" w:footer="0" w:gutter="0"/>
          <w:cols w:space="720" w:num="1"/>
        </w:sectPr>
      </w:pPr>
    </w:p>
    <w:p>
      <w:pPr>
        <w:spacing w:before="163" w:line="360" w:lineRule="auto"/>
        <w:ind w:left="34" w:right="93" w:firstLine="64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项目采用因素法进行项目资金分配，因素法分配财政资</w:t>
      </w:r>
      <w:r>
        <w:rPr>
          <w:rFonts w:ascii="FangSong" w:hAnsi="FangSong" w:eastAsia="FangSong" w:cs="FangSong"/>
          <w:spacing w:val="-1"/>
          <w:sz w:val="32"/>
          <w:szCs w:val="32"/>
        </w:rPr>
        <w:t>金是指事先设定财政资金分配时考虑的主要因素以及不同</w:t>
      </w:r>
      <w:r>
        <w:rPr>
          <w:rFonts w:ascii="FangSong" w:hAnsi="FangSong" w:eastAsia="FangSong" w:cs="FangSong"/>
          <w:spacing w:val="-2"/>
          <w:sz w:val="32"/>
          <w:szCs w:val="32"/>
        </w:rPr>
        <w:t>因素各占的比重，将资金分配到部门或地方，由部门或地方</w:t>
      </w:r>
      <w:r>
        <w:rPr>
          <w:rFonts w:ascii="FangSong" w:hAnsi="FangSong" w:eastAsia="FangSong" w:cs="FangSong"/>
          <w:spacing w:val="11"/>
          <w:sz w:val="32"/>
          <w:szCs w:val="32"/>
        </w:rPr>
        <w:t>政府按照特定的资金用途，确定具体支持的项目并组织实</w:t>
      </w:r>
      <w:r>
        <w:rPr>
          <w:rFonts w:ascii="FangSong" w:hAnsi="FangSong" w:eastAsia="FangSong" w:cs="FangSong"/>
          <w:spacing w:val="-16"/>
          <w:sz w:val="32"/>
          <w:szCs w:val="32"/>
        </w:rPr>
        <w:t>施。</w:t>
      </w:r>
    </w:p>
    <w:p>
      <w:pPr>
        <w:spacing w:line="222" w:lineRule="auto"/>
        <w:ind w:left="671"/>
        <w:outlineLvl w:val="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4"/>
          <w:sz w:val="32"/>
          <w:szCs w:val="32"/>
        </w:rPr>
        <w:t>3.项目资金分配情况</w:t>
      </w:r>
    </w:p>
    <w:p>
      <w:pPr>
        <w:spacing w:before="238" w:line="360" w:lineRule="auto"/>
        <w:ind w:left="34" w:firstLine="642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12"/>
          <w:sz w:val="32"/>
          <w:szCs w:val="32"/>
        </w:rPr>
        <w:t>项目总预算资金为</w:t>
      </w:r>
      <w:r>
        <w:rPr>
          <w:rFonts w:ascii="FangSong" w:hAnsi="FangSong" w:eastAsia="FangSong" w:cs="FangSong"/>
          <w:spacing w:val="-37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2"/>
          <w:sz w:val="32"/>
          <w:szCs w:val="32"/>
        </w:rPr>
        <w:t>12.95</w:t>
      </w:r>
      <w:r>
        <w:rPr>
          <w:rFonts w:ascii="FangSong" w:hAnsi="FangSong" w:eastAsia="FangSong" w:cs="FangSong"/>
          <w:spacing w:val="-63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2"/>
          <w:sz w:val="32"/>
          <w:szCs w:val="32"/>
        </w:rPr>
        <w:t>万元，来源为县财政专项资金，</w:t>
      </w:r>
      <w:r>
        <w:rPr>
          <w:rFonts w:ascii="FangSong" w:hAnsi="FangSong" w:eastAsia="FangSong" w:cs="FangSong"/>
          <w:spacing w:val="-2"/>
          <w:sz w:val="32"/>
          <w:szCs w:val="32"/>
        </w:rPr>
        <w:t>预算资金分配充分，资金分配额度合理，与项目单位实际相</w:t>
      </w:r>
      <w:r>
        <w:rPr>
          <w:rFonts w:ascii="FangSong" w:hAnsi="FangSong" w:eastAsia="FangSong" w:cs="FangSong"/>
          <w:spacing w:val="-4"/>
          <w:sz w:val="32"/>
          <w:szCs w:val="32"/>
        </w:rPr>
        <w:t>适应。目前项目资金，拨付</w:t>
      </w:r>
      <w:r>
        <w:rPr>
          <w:rFonts w:ascii="FangSong" w:hAnsi="FangSong" w:eastAsia="FangSong" w:cs="FangSong"/>
          <w:spacing w:val="-41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4"/>
          <w:sz w:val="32"/>
          <w:szCs w:val="32"/>
        </w:rPr>
        <w:t>12.95</w:t>
      </w:r>
      <w:r>
        <w:rPr>
          <w:rFonts w:ascii="FangSong" w:hAnsi="FangSong" w:eastAsia="FangSong" w:cs="FangSong"/>
          <w:spacing w:val="-56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4"/>
          <w:sz w:val="32"/>
          <w:szCs w:val="32"/>
        </w:rPr>
        <w:t>万元，预算执行率</w:t>
      </w:r>
      <w:r>
        <w:rPr>
          <w:rFonts w:ascii="FangSong" w:hAnsi="FangSong" w:eastAsia="FangSong" w:cs="FangSong"/>
          <w:spacing w:val="-4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4"/>
          <w:sz w:val="32"/>
          <w:szCs w:val="32"/>
        </w:rPr>
        <w:t>100%。完成全年预算目标完成全年预算核定目标。</w:t>
      </w:r>
    </w:p>
    <w:p>
      <w:pPr>
        <w:spacing w:line="222" w:lineRule="auto"/>
        <w:ind w:left="675"/>
        <w:outlineLvl w:val="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4"/>
          <w:sz w:val="32"/>
          <w:szCs w:val="32"/>
        </w:rPr>
        <w:t>（四）项目绩效目标设置</w:t>
      </w:r>
      <w:r>
        <w:rPr>
          <w:rFonts w:ascii="FangSong" w:hAnsi="FangSong" w:eastAsia="FangSong" w:cs="FangSong"/>
          <w:spacing w:val="-4"/>
          <w:sz w:val="32"/>
          <w:szCs w:val="32"/>
        </w:rPr>
        <w:t>。</w:t>
      </w:r>
    </w:p>
    <w:p>
      <w:pPr>
        <w:spacing w:before="238" w:line="360" w:lineRule="auto"/>
        <w:ind w:left="34" w:right="93" w:firstLine="648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4"/>
          <w:sz w:val="32"/>
          <w:szCs w:val="32"/>
        </w:rPr>
        <w:t>党史资料征编和专题研究(1)拍摄制作《高原守望  碉</w:t>
      </w:r>
      <w:r>
        <w:rPr>
          <w:rFonts w:ascii="FangSong" w:hAnsi="FangSong" w:eastAsia="FangSong" w:cs="FangSong"/>
          <w:spacing w:val="5"/>
          <w:sz w:val="32"/>
          <w:szCs w:val="32"/>
        </w:rPr>
        <w:t>楼文明》（2）将红色口述历史纪录片组成片</w:t>
      </w:r>
      <w:r>
        <w:rPr>
          <w:rFonts w:ascii="FangSong" w:hAnsi="FangSong" w:eastAsia="FangSong" w:cs="FangSong"/>
          <w:spacing w:val="4"/>
          <w:sz w:val="32"/>
          <w:szCs w:val="32"/>
        </w:rPr>
        <w:t>库，利用新媒</w:t>
      </w:r>
      <w:r>
        <w:rPr>
          <w:rFonts w:ascii="FangSong" w:hAnsi="FangSong" w:eastAsia="FangSong" w:cs="FangSong"/>
          <w:spacing w:val="-1"/>
          <w:sz w:val="32"/>
          <w:szCs w:val="32"/>
        </w:rPr>
        <w:t>体传播弘扬红色文化 17 期，结合</w:t>
      </w:r>
      <w:r>
        <w:rPr>
          <w:rFonts w:ascii="FangSong" w:hAnsi="FangSong" w:eastAsia="FangSong" w:cs="FangSong"/>
          <w:spacing w:val="-1"/>
          <w:sz w:val="32"/>
          <w:szCs w:val="32"/>
        </w:rPr>
        <w:t>党史学习教育</w:t>
      </w:r>
      <w:r>
        <w:rPr>
          <w:rFonts w:ascii="FangSong" w:hAnsi="FangSong" w:eastAsia="FangSong" w:cs="FangSong"/>
          <w:spacing w:val="-2"/>
          <w:sz w:val="32"/>
          <w:szCs w:val="32"/>
        </w:rPr>
        <w:t>组织全县转播观</w:t>
      </w:r>
      <w:r>
        <w:rPr>
          <w:rFonts w:ascii="FangSong" w:hAnsi="FangSong" w:eastAsia="FangSong" w:cs="FangSong"/>
          <w:spacing w:val="-4"/>
          <w:sz w:val="32"/>
          <w:szCs w:val="32"/>
        </w:rPr>
        <w:t>看，会同县政协共同编辑出版《黑水县口述历史纪录片精品辑-不能忘却的记忆》；</w:t>
      </w:r>
      <w:r>
        <w:rPr>
          <w:rFonts w:ascii="FangSong" w:hAnsi="FangSong" w:eastAsia="FangSong" w:cs="FangSong"/>
          <w:spacing w:val="68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4"/>
          <w:sz w:val="32"/>
          <w:szCs w:val="32"/>
        </w:rPr>
        <w:t>全面推动国家长征文化公园黑水段</w:t>
      </w:r>
      <w:r>
        <w:rPr>
          <w:rFonts w:ascii="FangSong" w:hAnsi="FangSong" w:eastAsia="FangSong" w:cs="FangSong"/>
          <w:spacing w:val="-2"/>
          <w:sz w:val="32"/>
          <w:szCs w:val="32"/>
        </w:rPr>
        <w:t>建设，对芦花纪念馆、色尔古综合民俗馆等进行党史内容复</w:t>
      </w:r>
      <w:r>
        <w:rPr>
          <w:rFonts w:ascii="FangSong" w:hAnsi="FangSong" w:eastAsia="FangSong" w:cs="FangSong"/>
          <w:spacing w:val="-5"/>
          <w:sz w:val="32"/>
          <w:szCs w:val="32"/>
        </w:rPr>
        <w:t>核，修改</w:t>
      </w:r>
      <w:r>
        <w:rPr>
          <w:rFonts w:ascii="FangSong" w:hAnsi="FangSong" w:eastAsia="FangSong" w:cs="FangSong"/>
          <w:spacing w:val="-6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20</w:t>
      </w:r>
      <w:r>
        <w:rPr>
          <w:rFonts w:ascii="FangSong" w:hAnsi="FangSong" w:eastAsia="FangSong" w:cs="FangSong"/>
          <w:spacing w:val="-56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余项内容。上报党史研究文章</w:t>
      </w:r>
      <w:r>
        <w:rPr>
          <w:rFonts w:ascii="FangSong" w:hAnsi="FangSong" w:eastAsia="FangSong" w:cs="FangSong"/>
          <w:spacing w:val="-6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2</w:t>
      </w:r>
      <w:r>
        <w:rPr>
          <w:rFonts w:ascii="FangSong" w:hAnsi="FangSong" w:eastAsia="FangSong" w:cs="FangSong"/>
          <w:spacing w:val="-50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6"/>
          <w:sz w:val="32"/>
          <w:szCs w:val="32"/>
        </w:rPr>
        <w:t>篇。</w:t>
      </w:r>
    </w:p>
    <w:p>
      <w:pPr>
        <w:spacing w:before="1" w:line="222" w:lineRule="auto"/>
        <w:ind w:left="685"/>
        <w:outlineLvl w:val="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8"/>
          <w:sz w:val="32"/>
          <w:szCs w:val="32"/>
        </w:rPr>
        <w:t>二、评价实施</w:t>
      </w:r>
    </w:p>
    <w:p>
      <w:pPr>
        <w:spacing w:before="239" w:line="222" w:lineRule="auto"/>
        <w:ind w:left="675"/>
        <w:outlineLvl w:val="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6"/>
          <w:sz w:val="32"/>
          <w:szCs w:val="32"/>
        </w:rPr>
        <w:t>（一）评价目的。</w:t>
      </w:r>
    </w:p>
    <w:p>
      <w:pPr>
        <w:spacing w:before="237" w:line="361" w:lineRule="auto"/>
        <w:ind w:left="46" w:right="93" w:firstLine="64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为了进一步规范和加强预算绩效管理和专项资金管理，为项目设立和预算安排提供重要参考依据，提高预算编制科</w:t>
      </w:r>
    </w:p>
    <w:p>
      <w:pPr>
        <w:spacing w:line="361" w:lineRule="auto"/>
        <w:rPr>
          <w:rFonts w:ascii="FangSong" w:hAnsi="FangSong" w:eastAsia="FangSong" w:cs="FangSong"/>
          <w:sz w:val="32"/>
          <w:szCs w:val="32"/>
        </w:rPr>
        <w:sectPr>
          <w:pgSz w:w="11906" w:h="16839"/>
          <w:pgMar w:top="1431" w:right="1706" w:bottom="0" w:left="1785" w:header="0" w:footer="0" w:gutter="0"/>
          <w:cols w:space="720" w:num="1"/>
        </w:sectPr>
      </w:pPr>
    </w:p>
    <w:p>
      <w:pPr>
        <w:spacing w:before="163" w:line="360" w:lineRule="auto"/>
        <w:ind w:left="35" w:firstLine="13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学性、合理性，优化财政支出结构，从源头上防控财政资源配置的低效无效，提高财政资源配置效率和财政资金使用效</w:t>
      </w:r>
      <w:r>
        <w:rPr>
          <w:rFonts w:ascii="FangSong" w:hAnsi="FangSong" w:eastAsia="FangSong" w:cs="FangSong"/>
          <w:spacing w:val="-3"/>
          <w:sz w:val="32"/>
          <w:szCs w:val="32"/>
        </w:rPr>
        <w:t>益，阿坝州财政局印发《阿坝州财政局关于开展</w:t>
      </w:r>
      <w:r>
        <w:rPr>
          <w:rFonts w:ascii="FangSong" w:hAnsi="FangSong" w:eastAsia="FangSong" w:cs="FangSong"/>
          <w:spacing w:val="47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3"/>
          <w:sz w:val="32"/>
          <w:szCs w:val="32"/>
        </w:rPr>
        <w:t>2024 年州</w:t>
      </w:r>
      <w:r>
        <w:rPr>
          <w:rFonts w:ascii="FangSong" w:hAnsi="FangSong" w:eastAsia="FangSong" w:cs="FangSong"/>
          <w:spacing w:val="17"/>
          <w:sz w:val="32"/>
          <w:szCs w:val="32"/>
        </w:rPr>
        <w:t>级部门绩效自评工作的通知》</w:t>
      </w:r>
      <w:r>
        <w:rPr>
          <w:rFonts w:ascii="FangSong" w:hAnsi="FangSong" w:eastAsia="FangSong" w:cs="FangSong"/>
          <w:spacing w:val="-104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17"/>
          <w:sz w:val="32"/>
          <w:szCs w:val="32"/>
        </w:rPr>
        <w:t>（阿州财监绩〔202</w:t>
      </w:r>
      <w:r>
        <w:rPr>
          <w:rFonts w:ascii="FangSong" w:hAnsi="FangSong" w:eastAsia="FangSong" w:cs="FangSong"/>
          <w:spacing w:val="16"/>
          <w:sz w:val="32"/>
          <w:szCs w:val="32"/>
        </w:rPr>
        <w:t>5〕</w:t>
      </w:r>
      <w:r>
        <w:rPr>
          <w:rFonts w:ascii="FangSong" w:hAnsi="FangSong" w:eastAsia="FangSong" w:cs="FangSong"/>
          <w:spacing w:val="-68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16"/>
          <w:sz w:val="32"/>
          <w:szCs w:val="32"/>
        </w:rPr>
        <w:t>19</w:t>
      </w:r>
      <w:r>
        <w:rPr>
          <w:rFonts w:ascii="FangSong" w:hAnsi="FangSong" w:eastAsia="FangSong" w:cs="FangSong"/>
          <w:sz w:val="32"/>
          <w:szCs w:val="32"/>
        </w:rPr>
        <w:t xml:space="preserve">号），                                             </w:t>
      </w:r>
      <w:r>
        <w:rPr>
          <w:rFonts w:ascii="FangSong" w:hAnsi="FangSong" w:eastAsia="FangSong" w:cs="FangSong"/>
          <w:spacing w:val="-2"/>
          <w:sz w:val="32"/>
          <w:szCs w:val="32"/>
        </w:rPr>
        <w:t>要求各部门（单位）按照州财政局制定的相关制度办法和共</w:t>
      </w:r>
      <w:r>
        <w:rPr>
          <w:rFonts w:ascii="FangSong" w:hAnsi="FangSong" w:eastAsia="FangSong" w:cs="FangSong"/>
          <w:spacing w:val="-9"/>
          <w:sz w:val="32"/>
          <w:szCs w:val="32"/>
        </w:rPr>
        <w:t>性绩效指标框架，建立涵盖项目决策、项目管理、</w:t>
      </w:r>
      <w:r>
        <w:rPr>
          <w:rFonts w:ascii="FangSong" w:hAnsi="FangSong" w:eastAsia="FangSong" w:cs="FangSong"/>
          <w:spacing w:val="-10"/>
          <w:sz w:val="32"/>
          <w:szCs w:val="32"/>
        </w:rPr>
        <w:t>项目实施、</w:t>
      </w:r>
      <w:r>
        <w:rPr>
          <w:rFonts w:ascii="FangSong" w:hAnsi="FangSong" w:eastAsia="FangSong" w:cs="FangSong"/>
          <w:spacing w:val="-11"/>
          <w:sz w:val="32"/>
          <w:szCs w:val="32"/>
        </w:rPr>
        <w:t>项目结果、民生保障五个板块，</w:t>
      </w:r>
      <w:r>
        <w:rPr>
          <w:rFonts w:ascii="FangSong" w:hAnsi="FangSong" w:eastAsia="FangSong" w:cs="FangSong"/>
          <w:spacing w:val="89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1"/>
          <w:sz w:val="32"/>
          <w:szCs w:val="32"/>
        </w:rPr>
        <w:t>覆盖所有管理对象，贯穿绩</w:t>
      </w:r>
      <w:r>
        <w:rPr>
          <w:rFonts w:ascii="FangSong" w:hAnsi="FangSong" w:eastAsia="FangSong" w:cs="FangSong"/>
          <w:spacing w:val="-2"/>
          <w:sz w:val="32"/>
          <w:szCs w:val="32"/>
        </w:rPr>
        <w:t>效目标管理、事前评估、事中监控、事后评价以及绩效结果</w:t>
      </w:r>
      <w:r>
        <w:rPr>
          <w:rFonts w:ascii="FangSong" w:hAnsi="FangSong" w:eastAsia="FangSong" w:cs="FangSong"/>
          <w:spacing w:val="-11"/>
          <w:sz w:val="32"/>
          <w:szCs w:val="32"/>
        </w:rPr>
        <w:t>应用全过程的本部门的具体措施、实施细则和指标体系，</w:t>
      </w:r>
      <w:r>
        <w:rPr>
          <w:rFonts w:ascii="FangSong" w:hAnsi="FangSong" w:eastAsia="FangSong" w:cs="FangSong"/>
          <w:spacing w:val="89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1"/>
          <w:sz w:val="32"/>
          <w:szCs w:val="32"/>
        </w:rPr>
        <w:t>形</w:t>
      </w:r>
      <w:r>
        <w:rPr>
          <w:rFonts w:ascii="FangSong" w:hAnsi="FangSong" w:eastAsia="FangSong" w:cs="FangSong"/>
          <w:spacing w:val="-2"/>
          <w:sz w:val="32"/>
          <w:szCs w:val="32"/>
        </w:rPr>
        <w:t>成全州全面实施预算绩效管理制度体系格局。通过本次评价总结经验，发现问题，提出改进建议，进一步提升加强项目</w:t>
      </w:r>
      <w:r>
        <w:rPr>
          <w:rFonts w:ascii="FangSong" w:hAnsi="FangSong" w:eastAsia="FangSong" w:cs="FangSong"/>
          <w:spacing w:val="-9"/>
          <w:sz w:val="32"/>
          <w:szCs w:val="32"/>
        </w:rPr>
        <w:t>支出绩效管理水平、提升预算管理水平、提升项目管理水平。</w:t>
      </w:r>
    </w:p>
    <w:p>
      <w:pPr>
        <w:spacing w:line="222" w:lineRule="auto"/>
        <w:ind w:left="675"/>
        <w:outlineLvl w:val="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4"/>
          <w:sz w:val="32"/>
          <w:szCs w:val="32"/>
        </w:rPr>
        <w:t>（二）预设问题及评价重点。</w:t>
      </w:r>
    </w:p>
    <w:p>
      <w:pPr>
        <w:spacing w:before="238" w:line="360" w:lineRule="auto"/>
        <w:ind w:left="35" w:right="117" w:firstLine="64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1"/>
          <w:sz w:val="32"/>
          <w:szCs w:val="32"/>
        </w:rPr>
        <w:t>本次评价主要针对该项目的规划编制的内容完整性和</w:t>
      </w:r>
      <w:r>
        <w:rPr>
          <w:rFonts w:ascii="FangSong" w:hAnsi="FangSong" w:eastAsia="FangSong" w:cs="FangSong"/>
          <w:spacing w:val="-2"/>
          <w:sz w:val="32"/>
          <w:szCs w:val="32"/>
        </w:rPr>
        <w:t>项目实施工作的质量问题，结合该项目资金的使用情况来完</w:t>
      </w:r>
      <w:r>
        <w:rPr>
          <w:rFonts w:ascii="FangSong" w:hAnsi="FangSong" w:eastAsia="FangSong" w:cs="FangSong"/>
          <w:spacing w:val="-11"/>
          <w:sz w:val="32"/>
          <w:szCs w:val="32"/>
        </w:rPr>
        <w:t>整的体现。</w:t>
      </w:r>
    </w:p>
    <w:p>
      <w:pPr>
        <w:spacing w:line="222" w:lineRule="auto"/>
        <w:ind w:left="675"/>
        <w:outlineLvl w:val="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6"/>
          <w:sz w:val="32"/>
          <w:szCs w:val="32"/>
        </w:rPr>
        <w:t>（三）评价选点。</w:t>
      </w:r>
    </w:p>
    <w:p>
      <w:pPr>
        <w:spacing w:before="238" w:line="360" w:lineRule="auto"/>
        <w:ind w:left="36" w:right="117" w:firstLine="64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12"/>
          <w:sz w:val="32"/>
          <w:szCs w:val="32"/>
        </w:rPr>
        <w:t>项目主要开展工作地点为黑水县，项目不涉及其他点</w:t>
      </w:r>
      <w:r>
        <w:rPr>
          <w:rFonts w:ascii="FangSong" w:hAnsi="FangSong" w:eastAsia="FangSong" w:cs="FangSong"/>
          <w:spacing w:val="-17"/>
          <w:sz w:val="32"/>
          <w:szCs w:val="32"/>
        </w:rPr>
        <w:t>位。</w:t>
      </w:r>
    </w:p>
    <w:p>
      <w:pPr>
        <w:spacing w:before="1" w:line="222" w:lineRule="auto"/>
        <w:ind w:left="675"/>
        <w:outlineLvl w:val="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6"/>
          <w:sz w:val="32"/>
          <w:szCs w:val="32"/>
        </w:rPr>
        <w:t>（四）评价方法。</w:t>
      </w:r>
    </w:p>
    <w:p>
      <w:pPr>
        <w:spacing w:before="238" w:line="222" w:lineRule="auto"/>
        <w:ind w:left="677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1"/>
          <w:sz w:val="32"/>
          <w:szCs w:val="32"/>
        </w:rPr>
        <w:t>采用先进的绩效评价方法和科学的数据分析是取得正</w:t>
      </w:r>
    </w:p>
    <w:p>
      <w:pPr>
        <w:spacing w:line="222" w:lineRule="auto"/>
        <w:rPr>
          <w:rFonts w:ascii="FangSong" w:hAnsi="FangSong" w:eastAsia="FangSong" w:cs="FangSong"/>
          <w:sz w:val="32"/>
          <w:szCs w:val="32"/>
        </w:rPr>
        <w:sectPr>
          <w:pgSz w:w="11906" w:h="16839"/>
          <w:pgMar w:top="1431" w:right="1682" w:bottom="0" w:left="1785" w:header="0" w:footer="0" w:gutter="0"/>
          <w:cols w:space="720" w:num="1"/>
        </w:sectPr>
      </w:pPr>
    </w:p>
    <w:p>
      <w:pPr>
        <w:spacing w:before="163" w:line="360" w:lineRule="auto"/>
        <w:ind w:left="37" w:right="14" w:hanging="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11"/>
          <w:sz w:val="32"/>
          <w:szCs w:val="32"/>
        </w:rPr>
        <w:t>确客观评价结论的重要保障，评价组从以下方法中择优组</w:t>
      </w:r>
      <w:r>
        <w:rPr>
          <w:rFonts w:ascii="FangSong" w:hAnsi="FangSong" w:eastAsia="FangSong" w:cs="FangSong"/>
          <w:sz w:val="32"/>
          <w:szCs w:val="32"/>
        </w:rPr>
        <w:t xml:space="preserve">织，                                              </w:t>
      </w:r>
      <w:r>
        <w:rPr>
          <w:rFonts w:ascii="FangSong" w:hAnsi="FangSong" w:eastAsia="FangSong" w:cs="FangSong"/>
          <w:spacing w:val="-3"/>
          <w:sz w:val="32"/>
          <w:szCs w:val="32"/>
        </w:rPr>
        <w:t>对项目实施评价，通过定量和定性分析得出评价结论。</w:t>
      </w:r>
    </w:p>
    <w:p>
      <w:pPr>
        <w:spacing w:line="360" w:lineRule="auto"/>
        <w:ind w:left="40" w:right="14" w:firstLine="648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3"/>
          <w:sz w:val="32"/>
          <w:szCs w:val="32"/>
        </w:rPr>
        <w:t>1.比较分析法。</w:t>
      </w:r>
      <w:r>
        <w:rPr>
          <w:rFonts w:ascii="FangSong" w:hAnsi="FangSong" w:eastAsia="FangSong" w:cs="FangSong"/>
          <w:spacing w:val="-3"/>
          <w:sz w:val="32"/>
          <w:szCs w:val="32"/>
        </w:rPr>
        <w:t>是指通过对绩效目标与实施效果、</w:t>
      </w:r>
      <w:r>
        <w:rPr>
          <w:rFonts w:ascii="FangSong" w:hAnsi="FangSong" w:eastAsia="FangSong" w:cs="FangSong"/>
          <w:spacing w:val="-4"/>
          <w:sz w:val="32"/>
          <w:szCs w:val="32"/>
        </w:rPr>
        <w:t>历史</w:t>
      </w:r>
      <w:r>
        <w:rPr>
          <w:rFonts w:ascii="FangSong" w:hAnsi="FangSong" w:eastAsia="FangSong" w:cs="FangSong"/>
          <w:spacing w:val="-11"/>
          <w:sz w:val="32"/>
          <w:szCs w:val="32"/>
        </w:rPr>
        <w:t>与当期情况、不同部门和地区同类支出的比较，</w:t>
      </w:r>
      <w:r>
        <w:rPr>
          <w:rFonts w:ascii="FangSong" w:hAnsi="FangSong" w:eastAsia="FangSong" w:cs="FangSong"/>
          <w:spacing w:val="84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1"/>
          <w:sz w:val="32"/>
          <w:szCs w:val="32"/>
        </w:rPr>
        <w:t>综合分析绩</w:t>
      </w:r>
      <w:r>
        <w:rPr>
          <w:rFonts w:ascii="FangSong" w:hAnsi="FangSong" w:eastAsia="FangSong" w:cs="FangSong"/>
          <w:spacing w:val="-8"/>
          <w:sz w:val="32"/>
          <w:szCs w:val="32"/>
        </w:rPr>
        <w:t>效目标实现程度。</w:t>
      </w:r>
    </w:p>
    <w:p>
      <w:pPr>
        <w:spacing w:line="360" w:lineRule="auto"/>
        <w:ind w:left="41" w:right="41" w:firstLine="627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4"/>
          <w:sz w:val="32"/>
          <w:szCs w:val="32"/>
        </w:rPr>
        <w:t>2.因素分析法。</w:t>
      </w:r>
      <w:r>
        <w:rPr>
          <w:rFonts w:ascii="FangSong" w:hAnsi="FangSong" w:eastAsia="FangSong" w:cs="FangSong"/>
          <w:spacing w:val="-4"/>
          <w:sz w:val="32"/>
          <w:szCs w:val="32"/>
        </w:rPr>
        <w:t>是指通过综合分析影响绩效目标实现、实施效果的内外因素，评价绩效目标实现程度。</w:t>
      </w:r>
    </w:p>
    <w:p>
      <w:pPr>
        <w:spacing w:line="360" w:lineRule="auto"/>
        <w:ind w:left="72" w:right="14" w:firstLine="598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3"/>
          <w:sz w:val="32"/>
          <w:szCs w:val="32"/>
        </w:rPr>
        <w:t>3.最低成本分析法。</w:t>
      </w:r>
      <w:r>
        <w:rPr>
          <w:rFonts w:ascii="FangSong" w:hAnsi="FangSong" w:eastAsia="FangSong" w:cs="FangSong"/>
          <w:spacing w:val="-3"/>
          <w:sz w:val="32"/>
          <w:szCs w:val="32"/>
        </w:rPr>
        <w:t>是指对效益确定却不易计量的多个</w:t>
      </w:r>
      <w:r>
        <w:rPr>
          <w:rFonts w:ascii="FangSong" w:hAnsi="FangSong" w:eastAsia="FangSong" w:cs="FangSong"/>
          <w:spacing w:val="-4"/>
          <w:sz w:val="32"/>
          <w:szCs w:val="32"/>
        </w:rPr>
        <w:t>同类对象的实施成本进行比较，评价绩效目标实现程度。</w:t>
      </w:r>
    </w:p>
    <w:p>
      <w:pPr>
        <w:spacing w:before="3" w:line="359" w:lineRule="auto"/>
        <w:ind w:left="40" w:right="14" w:firstLine="623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3"/>
          <w:sz w:val="32"/>
          <w:szCs w:val="32"/>
        </w:rPr>
        <w:t>4.双重交叉分析法。</w:t>
      </w:r>
      <w:r>
        <w:rPr>
          <w:rFonts w:ascii="FangSong" w:hAnsi="FangSong" w:eastAsia="FangSong" w:cs="FangSong"/>
          <w:spacing w:val="-3"/>
          <w:sz w:val="32"/>
          <w:szCs w:val="32"/>
        </w:rPr>
        <w:t>通过对项目建设前后的比较，根据</w:t>
      </w:r>
      <w:r>
        <w:rPr>
          <w:rFonts w:ascii="FangSong" w:hAnsi="FangSong" w:eastAsia="FangSong" w:cs="FangSong"/>
          <w:spacing w:val="-4"/>
          <w:sz w:val="32"/>
          <w:szCs w:val="32"/>
        </w:rPr>
        <w:t>成效等方面去寻找和分析政策产生的影响。</w:t>
      </w:r>
    </w:p>
    <w:p>
      <w:pPr>
        <w:spacing w:line="360" w:lineRule="auto"/>
        <w:ind w:left="34" w:right="14" w:firstLine="637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3"/>
          <w:sz w:val="32"/>
          <w:szCs w:val="32"/>
        </w:rPr>
        <w:t>5.随机访谈法。</w:t>
      </w:r>
      <w:r>
        <w:rPr>
          <w:rFonts w:ascii="FangSong" w:hAnsi="FangSong" w:eastAsia="FangSong" w:cs="FangSong"/>
          <w:spacing w:val="-3"/>
          <w:sz w:val="32"/>
          <w:szCs w:val="32"/>
        </w:rPr>
        <w:t>针对部分项目负责人及实施主体进行了</w:t>
      </w:r>
      <w:r>
        <w:rPr>
          <w:rFonts w:ascii="FangSong" w:hAnsi="FangSong" w:eastAsia="FangSong" w:cs="FangSong"/>
          <w:spacing w:val="-2"/>
          <w:sz w:val="32"/>
          <w:szCs w:val="32"/>
        </w:rPr>
        <w:t>询问和访谈，如项目实施情况的必要性、可行性和满意度等</w:t>
      </w:r>
      <w:r>
        <w:rPr>
          <w:rFonts w:ascii="FangSong" w:hAnsi="FangSong" w:eastAsia="FangSong" w:cs="FangSong"/>
          <w:spacing w:val="-8"/>
          <w:sz w:val="32"/>
          <w:szCs w:val="32"/>
        </w:rPr>
        <w:t>进行随机访谈。</w:t>
      </w:r>
    </w:p>
    <w:p>
      <w:pPr>
        <w:spacing w:line="222" w:lineRule="auto"/>
        <w:ind w:left="675"/>
        <w:outlineLvl w:val="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6"/>
          <w:sz w:val="32"/>
          <w:szCs w:val="32"/>
        </w:rPr>
        <w:t>（五）评价组织。</w:t>
      </w:r>
    </w:p>
    <w:p>
      <w:pPr>
        <w:spacing w:before="238" w:line="224" w:lineRule="auto"/>
        <w:ind w:left="688"/>
        <w:outlineLvl w:val="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7"/>
          <w:sz w:val="32"/>
          <w:szCs w:val="32"/>
        </w:rPr>
        <w:t>1.领导小组职责：</w:t>
      </w:r>
    </w:p>
    <w:p>
      <w:pPr>
        <w:spacing w:before="236" w:line="360" w:lineRule="auto"/>
        <w:ind w:left="45" w:right="511" w:firstLine="309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3"/>
          <w:sz w:val="32"/>
          <w:szCs w:val="32"/>
        </w:rPr>
        <w:t>（1）研究和决定同级政府公共事业管理绩效评价中的</w:t>
      </w:r>
      <w:r>
        <w:rPr>
          <w:rFonts w:ascii="FangSong" w:hAnsi="FangSong" w:eastAsia="FangSong" w:cs="FangSong"/>
          <w:spacing w:val="-12"/>
          <w:sz w:val="32"/>
          <w:szCs w:val="32"/>
        </w:rPr>
        <w:t>重大问题。</w:t>
      </w:r>
    </w:p>
    <w:p>
      <w:pPr>
        <w:spacing w:line="220" w:lineRule="auto"/>
        <w:ind w:left="355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3"/>
          <w:sz w:val="32"/>
          <w:szCs w:val="32"/>
        </w:rPr>
        <w:t>（2）组织协调绩效评价工作，确保评价的顺利进行。</w:t>
      </w:r>
    </w:p>
    <w:p>
      <w:pPr>
        <w:spacing w:before="242" w:line="360" w:lineRule="auto"/>
        <w:ind w:left="42" w:right="46" w:firstLine="31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3"/>
          <w:sz w:val="32"/>
          <w:szCs w:val="32"/>
        </w:rPr>
        <w:t>（3）对各单位的工作目标、绩效考核结果和等次、奖惩</w:t>
      </w:r>
      <w:r>
        <w:rPr>
          <w:rFonts w:ascii="FangSong" w:hAnsi="FangSong" w:eastAsia="FangSong" w:cs="FangSong"/>
          <w:spacing w:val="-4"/>
          <w:sz w:val="32"/>
          <w:szCs w:val="32"/>
        </w:rPr>
        <w:t>方案进行审核，并报同级党委和政府审定。</w:t>
      </w:r>
    </w:p>
    <w:p>
      <w:pPr>
        <w:spacing w:line="360" w:lineRule="auto"/>
        <w:rPr>
          <w:rFonts w:ascii="FangSong" w:hAnsi="FangSong" w:eastAsia="FangSong" w:cs="FangSong"/>
          <w:sz w:val="32"/>
          <w:szCs w:val="32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spacing w:before="164" w:line="224" w:lineRule="auto"/>
        <w:ind w:left="669"/>
        <w:outlineLvl w:val="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5"/>
          <w:sz w:val="32"/>
          <w:szCs w:val="32"/>
        </w:rPr>
        <w:t>2.办公室职责：</w:t>
      </w:r>
    </w:p>
    <w:p>
      <w:pPr>
        <w:spacing w:before="234" w:line="360" w:lineRule="auto"/>
        <w:ind w:left="54" w:right="181" w:firstLine="62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（1）提出全省（市、县）政府公共事业管理绩效评价</w:t>
      </w:r>
      <w:r>
        <w:rPr>
          <w:rFonts w:ascii="FangSong" w:hAnsi="FangSong" w:eastAsia="FangSong" w:cs="FangSong"/>
          <w:spacing w:val="-5"/>
          <w:sz w:val="32"/>
          <w:szCs w:val="32"/>
        </w:rPr>
        <w:t>的工作方案，并负责具体组织实施。</w:t>
      </w:r>
    </w:p>
    <w:p>
      <w:pPr>
        <w:spacing w:line="360" w:lineRule="auto"/>
        <w:ind w:left="37" w:right="187" w:firstLine="637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（2）综合评价信息，提出评价结果等次认定方案</w:t>
      </w:r>
      <w:r>
        <w:rPr>
          <w:rFonts w:ascii="FangSong" w:hAnsi="FangSong" w:eastAsia="FangSong" w:cs="FangSong"/>
          <w:spacing w:val="-3"/>
          <w:sz w:val="32"/>
          <w:szCs w:val="32"/>
        </w:rPr>
        <w:t>及奖</w:t>
      </w:r>
      <w:r>
        <w:rPr>
          <w:rFonts w:ascii="FangSong" w:hAnsi="FangSong" w:eastAsia="FangSong" w:cs="FangSong"/>
          <w:spacing w:val="-11"/>
          <w:sz w:val="32"/>
          <w:szCs w:val="32"/>
        </w:rPr>
        <w:t>惩方案等。</w:t>
      </w:r>
    </w:p>
    <w:p>
      <w:pPr>
        <w:spacing w:line="360" w:lineRule="auto"/>
        <w:ind w:left="35" w:right="187" w:firstLine="64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（3）负责绩效评价的日常工作，包括宣传、沟通</w:t>
      </w:r>
      <w:r>
        <w:rPr>
          <w:rFonts w:ascii="FangSong" w:hAnsi="FangSong" w:eastAsia="FangSong" w:cs="FangSong"/>
          <w:spacing w:val="-3"/>
          <w:sz w:val="32"/>
          <w:szCs w:val="32"/>
        </w:rPr>
        <w:t>、协</w:t>
      </w:r>
      <w:r>
        <w:rPr>
          <w:rFonts w:ascii="FangSong" w:hAnsi="FangSong" w:eastAsia="FangSong" w:cs="FangSong"/>
          <w:spacing w:val="-15"/>
          <w:sz w:val="32"/>
          <w:szCs w:val="32"/>
        </w:rPr>
        <w:t>调等。</w:t>
      </w:r>
    </w:p>
    <w:p>
      <w:pPr>
        <w:spacing w:line="360" w:lineRule="auto"/>
        <w:ind w:left="35" w:right="183" w:firstLine="64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（4）根据评价结果撰写绩效评价报告，并递交给领导</w:t>
      </w:r>
      <w:r>
        <w:rPr>
          <w:rFonts w:ascii="FangSong" w:hAnsi="FangSong" w:eastAsia="FangSong" w:cs="FangSong"/>
          <w:spacing w:val="-15"/>
          <w:sz w:val="32"/>
          <w:szCs w:val="32"/>
        </w:rPr>
        <w:t>小组。</w:t>
      </w:r>
    </w:p>
    <w:p>
      <w:pPr>
        <w:spacing w:before="1" w:line="220" w:lineRule="auto"/>
        <w:ind w:left="671"/>
        <w:outlineLvl w:val="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4"/>
          <w:sz w:val="32"/>
          <w:szCs w:val="32"/>
        </w:rPr>
        <w:t>3.具体执行人员职责：</w:t>
      </w:r>
    </w:p>
    <w:p>
      <w:pPr>
        <w:spacing w:before="241" w:line="360" w:lineRule="auto"/>
        <w:ind w:left="40" w:right="191" w:firstLine="634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3"/>
          <w:sz w:val="32"/>
          <w:szCs w:val="32"/>
        </w:rPr>
        <w:t>（1）组长：审批绩效自评方案，监督、检查、核实绩</w:t>
      </w:r>
      <w:r>
        <w:rPr>
          <w:rFonts w:ascii="FangSong" w:hAnsi="FangSong" w:eastAsia="FangSong" w:cs="FangSong"/>
          <w:spacing w:val="-10"/>
          <w:sz w:val="32"/>
          <w:szCs w:val="32"/>
        </w:rPr>
        <w:t>效自评结果。</w:t>
      </w:r>
    </w:p>
    <w:p>
      <w:pPr>
        <w:spacing w:line="360" w:lineRule="auto"/>
        <w:ind w:left="36" w:right="14" w:firstLine="638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（2）副组长：审核修改拟定的绩效自评方案，并</w:t>
      </w:r>
      <w:r>
        <w:rPr>
          <w:rFonts w:ascii="FangSong" w:hAnsi="FangSong" w:eastAsia="FangSong" w:cs="FangSong"/>
          <w:spacing w:val="-3"/>
          <w:sz w:val="32"/>
          <w:szCs w:val="32"/>
        </w:rPr>
        <w:t>提交</w:t>
      </w:r>
      <w:r>
        <w:rPr>
          <w:rFonts w:ascii="FangSong" w:hAnsi="FangSong" w:eastAsia="FangSong" w:cs="FangSong"/>
          <w:spacing w:val="-2"/>
          <w:sz w:val="32"/>
          <w:szCs w:val="32"/>
        </w:rPr>
        <w:t>考评工作组会议讨论通过；监督、部署、确认绩效自评过程</w:t>
      </w:r>
      <w:r>
        <w:rPr>
          <w:rFonts w:ascii="FangSong" w:hAnsi="FangSong" w:eastAsia="FangSong" w:cs="FangSong"/>
          <w:spacing w:val="-7"/>
          <w:sz w:val="32"/>
          <w:szCs w:val="32"/>
        </w:rPr>
        <w:t>及反馈意见的处理。</w:t>
      </w:r>
    </w:p>
    <w:p>
      <w:pPr>
        <w:spacing w:before="6" w:line="359" w:lineRule="auto"/>
        <w:ind w:left="37" w:right="14" w:firstLine="637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（3）小组成员：起草和修改绩效考评方案报自评领导工作组会议讨论通过，实施执行绩效自评方案；牵头组织并</w:t>
      </w:r>
      <w:r>
        <w:rPr>
          <w:rFonts w:ascii="FangSong" w:hAnsi="FangSong" w:eastAsia="FangSong" w:cs="FangSong"/>
          <w:spacing w:val="-11"/>
          <w:sz w:val="32"/>
          <w:szCs w:val="32"/>
        </w:rPr>
        <w:t>实施年度绩效自评，根据组长、副组长指示，</w:t>
      </w:r>
      <w:r>
        <w:rPr>
          <w:rFonts w:ascii="FangSong" w:hAnsi="FangSong" w:eastAsia="FangSong" w:cs="FangSong"/>
          <w:spacing w:val="87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1"/>
          <w:sz w:val="32"/>
          <w:szCs w:val="32"/>
        </w:rPr>
        <w:t>对考评结果进</w:t>
      </w:r>
      <w:r>
        <w:rPr>
          <w:rFonts w:ascii="FangSong" w:hAnsi="FangSong" w:eastAsia="FangSong" w:cs="FangSong"/>
          <w:spacing w:val="-3"/>
          <w:sz w:val="32"/>
          <w:szCs w:val="32"/>
        </w:rPr>
        <w:t>行复核，完成绩效自核工作组安排的其他工</w:t>
      </w:r>
      <w:r>
        <w:rPr>
          <w:rFonts w:ascii="FangSong" w:hAnsi="FangSong" w:eastAsia="FangSong" w:cs="FangSong"/>
          <w:spacing w:val="-4"/>
          <w:sz w:val="32"/>
          <w:szCs w:val="32"/>
        </w:rPr>
        <w:t>作。</w:t>
      </w:r>
    </w:p>
    <w:p>
      <w:pPr>
        <w:spacing w:before="1" w:line="221" w:lineRule="auto"/>
        <w:ind w:left="684"/>
        <w:outlineLvl w:val="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8"/>
          <w:sz w:val="32"/>
          <w:szCs w:val="32"/>
        </w:rPr>
        <w:t>三、绩效分析</w:t>
      </w:r>
    </w:p>
    <w:p>
      <w:pPr>
        <w:spacing w:before="274" w:line="335" w:lineRule="auto"/>
        <w:ind w:left="31" w:right="95" w:firstLine="643"/>
        <w:outlineLvl w:val="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8"/>
          <w:sz w:val="32"/>
          <w:szCs w:val="32"/>
        </w:rPr>
        <w:t>（一）通用指标绩效分析。指标分值</w:t>
      </w:r>
      <w:r>
        <w:rPr>
          <w:rFonts w:ascii="FangSong" w:hAnsi="FangSong" w:eastAsia="FangSong" w:cs="FangSong"/>
          <w:spacing w:val="-41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8"/>
          <w:sz w:val="32"/>
          <w:szCs w:val="32"/>
        </w:rPr>
        <w:t>54</w:t>
      </w:r>
      <w:r>
        <w:rPr>
          <w:rFonts w:ascii="FangSong" w:hAnsi="FangSong" w:eastAsia="FangSong" w:cs="FangSong"/>
          <w:spacing w:val="-53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8"/>
          <w:sz w:val="32"/>
          <w:szCs w:val="32"/>
        </w:rPr>
        <w:t>分，</w:t>
      </w:r>
      <w:r>
        <w:rPr>
          <w:rFonts w:ascii="FangSong" w:hAnsi="FangSong" w:eastAsia="FangSong" w:cs="FangSong"/>
          <w:spacing w:val="-73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8"/>
          <w:sz w:val="32"/>
          <w:szCs w:val="32"/>
        </w:rPr>
        <w:t>自评得分</w:t>
      </w:r>
      <w:r>
        <w:rPr>
          <w:rFonts w:ascii="FangSong" w:hAnsi="FangSong" w:eastAsia="FangSong" w:cs="FangSong"/>
          <w:b/>
          <w:bCs/>
          <w:spacing w:val="-9"/>
          <w:sz w:val="32"/>
          <w:szCs w:val="32"/>
        </w:rPr>
        <w:t>52</w:t>
      </w:r>
      <w:r>
        <w:rPr>
          <w:rFonts w:ascii="FangSong" w:hAnsi="FangSong" w:eastAsia="FangSong" w:cs="FangSong"/>
          <w:spacing w:val="-54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9"/>
          <w:sz w:val="32"/>
          <w:szCs w:val="32"/>
        </w:rPr>
        <w:t>分</w:t>
      </w:r>
    </w:p>
    <w:p>
      <w:pPr>
        <w:spacing w:line="335" w:lineRule="auto"/>
        <w:rPr>
          <w:rFonts w:ascii="FangSong" w:hAnsi="FangSong" w:eastAsia="FangSong" w:cs="FangSong"/>
          <w:sz w:val="32"/>
          <w:szCs w:val="32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spacing w:before="196" w:line="222" w:lineRule="auto"/>
        <w:ind w:left="468"/>
        <w:outlineLvl w:val="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12"/>
          <w:sz w:val="32"/>
          <w:szCs w:val="32"/>
        </w:rPr>
        <w:t>1.项目决策。指标分值</w:t>
      </w:r>
      <w:r>
        <w:rPr>
          <w:rFonts w:ascii="FangSong" w:hAnsi="FangSong" w:eastAsia="FangSong" w:cs="FangSong"/>
          <w:spacing w:val="-44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12"/>
          <w:sz w:val="32"/>
          <w:szCs w:val="32"/>
        </w:rPr>
        <w:t>18</w:t>
      </w:r>
      <w:r>
        <w:rPr>
          <w:rFonts w:ascii="FangSong" w:hAnsi="FangSong" w:eastAsia="FangSong" w:cs="FangSong"/>
          <w:spacing w:val="-54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12"/>
          <w:sz w:val="32"/>
          <w:szCs w:val="32"/>
        </w:rPr>
        <w:t>分，</w:t>
      </w:r>
      <w:r>
        <w:rPr>
          <w:rFonts w:ascii="FangSong" w:hAnsi="FangSong" w:eastAsia="FangSong" w:cs="FangSong"/>
          <w:spacing w:val="-76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12"/>
          <w:sz w:val="32"/>
          <w:szCs w:val="32"/>
        </w:rPr>
        <w:t>自评得分</w:t>
      </w:r>
      <w:r>
        <w:rPr>
          <w:rFonts w:ascii="FangSong" w:hAnsi="FangSong" w:eastAsia="FangSong" w:cs="FangSong"/>
          <w:spacing w:val="-44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13"/>
          <w:sz w:val="32"/>
          <w:szCs w:val="32"/>
        </w:rPr>
        <w:t>18</w:t>
      </w:r>
      <w:r>
        <w:rPr>
          <w:rFonts w:ascii="FangSong" w:hAnsi="FangSong" w:eastAsia="FangSong" w:cs="FangSong"/>
          <w:spacing w:val="-53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13"/>
          <w:sz w:val="32"/>
          <w:szCs w:val="32"/>
        </w:rPr>
        <w:t>分</w:t>
      </w:r>
    </w:p>
    <w:p>
      <w:pPr>
        <w:spacing w:before="160" w:line="222" w:lineRule="auto"/>
        <w:ind w:left="675"/>
        <w:outlineLvl w:val="3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6"/>
          <w:sz w:val="32"/>
          <w:szCs w:val="32"/>
        </w:rPr>
        <w:t>（1）决策程序</w:t>
      </w:r>
    </w:p>
    <w:p>
      <w:pPr>
        <w:spacing w:before="238" w:line="360" w:lineRule="auto"/>
        <w:ind w:left="39" w:right="93" w:firstLine="637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项目设立、调整延续等方面符合资金管理基本规范和决</w:t>
      </w:r>
      <w:r>
        <w:rPr>
          <w:rFonts w:ascii="FangSong" w:hAnsi="FangSong" w:eastAsia="FangSong" w:cs="FangSong"/>
          <w:spacing w:val="-6"/>
          <w:sz w:val="32"/>
          <w:szCs w:val="32"/>
        </w:rPr>
        <w:t>策程序要求，指标分值</w:t>
      </w:r>
      <w:r>
        <w:rPr>
          <w:rFonts w:ascii="FangSong" w:hAnsi="FangSong" w:eastAsia="FangSong" w:cs="FangSong"/>
          <w:spacing w:val="-59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6"/>
          <w:sz w:val="32"/>
          <w:szCs w:val="32"/>
        </w:rPr>
        <w:t>6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6"/>
          <w:sz w:val="32"/>
          <w:szCs w:val="32"/>
        </w:rPr>
        <w:t>分，自评得分</w:t>
      </w:r>
      <w:r>
        <w:rPr>
          <w:rFonts w:ascii="FangSong" w:hAnsi="FangSong" w:eastAsia="FangSong" w:cs="FangSong"/>
          <w:spacing w:val="-66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6"/>
          <w:sz w:val="32"/>
          <w:szCs w:val="32"/>
        </w:rPr>
        <w:t>6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6"/>
          <w:sz w:val="32"/>
          <w:szCs w:val="32"/>
        </w:rPr>
        <w:t>分。</w:t>
      </w:r>
    </w:p>
    <w:p>
      <w:pPr>
        <w:spacing w:before="1" w:line="223" w:lineRule="auto"/>
        <w:ind w:left="675"/>
        <w:outlineLvl w:val="3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6"/>
          <w:sz w:val="32"/>
          <w:szCs w:val="32"/>
        </w:rPr>
        <w:t>（2）规划论证</w:t>
      </w:r>
    </w:p>
    <w:p>
      <w:pPr>
        <w:spacing w:before="236" w:line="360" w:lineRule="auto"/>
        <w:ind w:left="36" w:right="93" w:firstLine="64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12"/>
          <w:sz w:val="32"/>
          <w:szCs w:val="32"/>
        </w:rPr>
        <w:t>项目规划符合中央、省委省政府有关决策部署安排，</w:t>
      </w:r>
      <w:r>
        <w:rPr>
          <w:rFonts w:ascii="FangSong" w:hAnsi="FangSong" w:eastAsia="FangSong" w:cs="FangSong"/>
          <w:spacing w:val="90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2"/>
          <w:sz w:val="32"/>
          <w:szCs w:val="32"/>
        </w:rPr>
        <w:t>项</w:t>
      </w:r>
      <w:r>
        <w:rPr>
          <w:rFonts w:ascii="FangSong" w:hAnsi="FangSong" w:eastAsia="FangSong" w:cs="FangSong"/>
          <w:spacing w:val="-2"/>
          <w:sz w:val="32"/>
          <w:szCs w:val="32"/>
        </w:rPr>
        <w:t>目充分评估论证了立项必要性、前瞻性、合理性和可行性。项目总体绩效目标设置合理性的偏离度≤15%，绩效目标科</w:t>
      </w:r>
      <w:r>
        <w:rPr>
          <w:rFonts w:ascii="FangSong" w:hAnsi="FangSong" w:eastAsia="FangSong" w:cs="FangSong"/>
          <w:spacing w:val="-3"/>
          <w:sz w:val="32"/>
          <w:szCs w:val="32"/>
        </w:rPr>
        <w:t>学合理、规范完整、量化细化、预算匹配，指标分值</w:t>
      </w:r>
      <w:r>
        <w:rPr>
          <w:rFonts w:ascii="FangSong" w:hAnsi="FangSong" w:eastAsia="FangSong" w:cs="FangSong"/>
          <w:spacing w:val="-6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3"/>
          <w:sz w:val="32"/>
          <w:szCs w:val="32"/>
        </w:rPr>
        <w:t>6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3"/>
          <w:sz w:val="32"/>
          <w:szCs w:val="32"/>
        </w:rPr>
        <w:t>分，</w:t>
      </w:r>
      <w:r>
        <w:rPr>
          <w:rFonts w:ascii="FangSong" w:hAnsi="FangSong" w:eastAsia="FangSong" w:cs="FangSong"/>
          <w:spacing w:val="-10"/>
          <w:sz w:val="32"/>
          <w:szCs w:val="32"/>
        </w:rPr>
        <w:t>自评得分</w:t>
      </w:r>
      <w:r>
        <w:rPr>
          <w:rFonts w:ascii="FangSong" w:hAnsi="FangSong" w:eastAsia="FangSong" w:cs="FangSong"/>
          <w:spacing w:val="-67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0"/>
          <w:sz w:val="32"/>
          <w:szCs w:val="32"/>
        </w:rPr>
        <w:t>6</w:t>
      </w:r>
      <w:r>
        <w:rPr>
          <w:rFonts w:ascii="FangSong" w:hAnsi="FangSong" w:eastAsia="FangSong" w:cs="FangSong"/>
          <w:spacing w:val="-56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0"/>
          <w:sz w:val="32"/>
          <w:szCs w:val="32"/>
        </w:rPr>
        <w:t>分。</w:t>
      </w:r>
    </w:p>
    <w:p>
      <w:pPr>
        <w:spacing w:before="1" w:line="223" w:lineRule="auto"/>
        <w:ind w:left="675"/>
        <w:outlineLvl w:val="3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6"/>
          <w:sz w:val="32"/>
          <w:szCs w:val="32"/>
        </w:rPr>
        <w:t>（3）资金投向</w:t>
      </w:r>
    </w:p>
    <w:p>
      <w:pPr>
        <w:spacing w:before="240" w:line="360" w:lineRule="auto"/>
        <w:ind w:left="34" w:firstLine="642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项目属于政府支持范围，且符合财政事权支出责任划分</w:t>
      </w:r>
      <w:r>
        <w:rPr>
          <w:rFonts w:ascii="FangSong" w:hAnsi="FangSong" w:eastAsia="FangSong" w:cs="FangSong"/>
          <w:spacing w:val="-10"/>
          <w:sz w:val="32"/>
          <w:szCs w:val="32"/>
        </w:rPr>
        <w:t>规定，资金投向与项目总体规划、相关行业事业发展相匹配，</w:t>
      </w:r>
      <w:r>
        <w:rPr>
          <w:rFonts w:ascii="FangSong" w:hAnsi="FangSong" w:eastAsia="FangSong" w:cs="FangSong"/>
          <w:spacing w:val="-11"/>
          <w:sz w:val="32"/>
          <w:szCs w:val="32"/>
        </w:rPr>
        <w:t>聚焦重大任务、重点领域、重点环节和重点项目，</w:t>
      </w:r>
      <w:r>
        <w:rPr>
          <w:rFonts w:ascii="FangSong" w:hAnsi="FangSong" w:eastAsia="FangSong" w:cs="FangSong"/>
          <w:spacing w:val="90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1"/>
          <w:sz w:val="32"/>
          <w:szCs w:val="32"/>
        </w:rPr>
        <w:t>未与其他</w:t>
      </w:r>
      <w:r>
        <w:rPr>
          <w:rFonts w:ascii="FangSong" w:hAnsi="FangSong" w:eastAsia="FangSong" w:cs="FangSong"/>
          <w:spacing w:val="-6"/>
          <w:sz w:val="32"/>
          <w:szCs w:val="32"/>
        </w:rPr>
        <w:t>同类项目或部门内部相关项目交叉重复，指标分值</w:t>
      </w:r>
      <w:r>
        <w:rPr>
          <w:rFonts w:ascii="FangSong" w:hAnsi="FangSong" w:eastAsia="FangSong" w:cs="FangSong"/>
          <w:spacing w:val="-59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6"/>
          <w:sz w:val="32"/>
          <w:szCs w:val="32"/>
        </w:rPr>
        <w:t>6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6"/>
          <w:sz w:val="32"/>
          <w:szCs w:val="32"/>
        </w:rPr>
        <w:t>分，</w:t>
      </w:r>
      <w:r>
        <w:rPr>
          <w:rFonts w:ascii="FangSong" w:hAnsi="FangSong" w:eastAsia="FangSong" w:cs="FangSong"/>
          <w:spacing w:val="-86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6"/>
          <w:sz w:val="32"/>
          <w:szCs w:val="32"/>
        </w:rPr>
        <w:t>自</w:t>
      </w:r>
      <w:r>
        <w:rPr>
          <w:rFonts w:ascii="FangSong" w:hAnsi="FangSong" w:eastAsia="FangSong" w:cs="FangSong"/>
          <w:spacing w:val="-12"/>
          <w:sz w:val="32"/>
          <w:szCs w:val="32"/>
        </w:rPr>
        <w:t>评得分</w:t>
      </w:r>
      <w:r>
        <w:rPr>
          <w:rFonts w:ascii="FangSong" w:hAnsi="FangSong" w:eastAsia="FangSong" w:cs="FangSong"/>
          <w:spacing w:val="-63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2"/>
          <w:sz w:val="32"/>
          <w:szCs w:val="32"/>
        </w:rPr>
        <w:t>6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2"/>
          <w:sz w:val="32"/>
          <w:szCs w:val="32"/>
        </w:rPr>
        <w:t>分。</w:t>
      </w:r>
    </w:p>
    <w:p>
      <w:pPr>
        <w:spacing w:before="30" w:line="222" w:lineRule="auto"/>
        <w:ind w:left="669"/>
        <w:outlineLvl w:val="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12"/>
          <w:sz w:val="32"/>
          <w:szCs w:val="32"/>
        </w:rPr>
        <w:t>2.项目管理。指标分值</w:t>
      </w:r>
      <w:r>
        <w:rPr>
          <w:rFonts w:ascii="FangSong" w:hAnsi="FangSong" w:eastAsia="FangSong" w:cs="FangSong"/>
          <w:spacing w:val="-27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12"/>
          <w:sz w:val="32"/>
          <w:szCs w:val="32"/>
        </w:rPr>
        <w:t>18</w:t>
      </w:r>
      <w:r>
        <w:rPr>
          <w:rFonts w:ascii="FangSong" w:hAnsi="FangSong" w:eastAsia="FangSong" w:cs="FangSong"/>
          <w:spacing w:val="-54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12"/>
          <w:sz w:val="32"/>
          <w:szCs w:val="32"/>
        </w:rPr>
        <w:t>分，</w:t>
      </w:r>
      <w:r>
        <w:rPr>
          <w:rFonts w:ascii="FangSong" w:hAnsi="FangSong" w:eastAsia="FangSong" w:cs="FangSong"/>
          <w:spacing w:val="-76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12"/>
          <w:sz w:val="32"/>
          <w:szCs w:val="32"/>
        </w:rPr>
        <w:t>自评得分</w:t>
      </w:r>
      <w:r>
        <w:rPr>
          <w:rFonts w:ascii="FangSong" w:hAnsi="FangSong" w:eastAsia="FangSong" w:cs="FangSong"/>
          <w:spacing w:val="-44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12"/>
          <w:sz w:val="32"/>
          <w:szCs w:val="32"/>
        </w:rPr>
        <w:t>16</w:t>
      </w:r>
      <w:r>
        <w:rPr>
          <w:rFonts w:ascii="FangSong" w:hAnsi="FangSong" w:eastAsia="FangSong" w:cs="FangSong"/>
          <w:spacing w:val="-54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12"/>
          <w:sz w:val="32"/>
          <w:szCs w:val="32"/>
        </w:rPr>
        <w:t>分</w:t>
      </w:r>
    </w:p>
    <w:p>
      <w:pPr>
        <w:spacing w:before="159" w:line="222" w:lineRule="auto"/>
        <w:ind w:left="675"/>
        <w:outlineLvl w:val="3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6"/>
          <w:sz w:val="32"/>
          <w:szCs w:val="32"/>
        </w:rPr>
        <w:t>（1）制度办法</w:t>
      </w:r>
    </w:p>
    <w:p>
      <w:pPr>
        <w:spacing w:before="240" w:line="360" w:lineRule="auto"/>
        <w:ind w:left="36" w:right="93" w:firstLine="640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项目未制定资金管理办法，管理制度体系有所欠缺，存</w:t>
      </w:r>
      <w:r>
        <w:rPr>
          <w:rFonts w:ascii="FangSong" w:hAnsi="FangSong" w:eastAsia="FangSong" w:cs="FangSong"/>
          <w:spacing w:val="-15"/>
          <w:sz w:val="32"/>
          <w:szCs w:val="32"/>
        </w:rPr>
        <w:t>在管理制度缺失、管理办法过期情况，</w:t>
      </w:r>
      <w:r>
        <w:rPr>
          <w:rFonts w:ascii="FangSong" w:hAnsi="FangSong" w:eastAsia="FangSong" w:cs="FangSong"/>
          <w:spacing w:val="83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5"/>
          <w:sz w:val="32"/>
          <w:szCs w:val="32"/>
        </w:rPr>
        <w:t>指标</w:t>
      </w:r>
      <w:r>
        <w:rPr>
          <w:rFonts w:ascii="FangSong" w:hAnsi="FangSong" w:eastAsia="FangSong" w:cs="FangSong"/>
          <w:spacing w:val="-16"/>
          <w:sz w:val="32"/>
          <w:szCs w:val="32"/>
        </w:rPr>
        <w:t>分值</w:t>
      </w:r>
      <w:r>
        <w:rPr>
          <w:rFonts w:ascii="FangSong" w:hAnsi="FangSong" w:eastAsia="FangSong" w:cs="FangSong"/>
          <w:spacing w:val="-6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6"/>
          <w:sz w:val="32"/>
          <w:szCs w:val="32"/>
        </w:rPr>
        <w:t>2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6"/>
          <w:sz w:val="32"/>
          <w:szCs w:val="32"/>
        </w:rPr>
        <w:t>分，</w:t>
      </w:r>
      <w:r>
        <w:rPr>
          <w:rFonts w:ascii="FangSong" w:hAnsi="FangSong" w:eastAsia="FangSong" w:cs="FangSong"/>
          <w:spacing w:val="-84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6"/>
          <w:sz w:val="32"/>
          <w:szCs w:val="32"/>
        </w:rPr>
        <w:t>自评</w:t>
      </w:r>
      <w:r>
        <w:rPr>
          <w:rFonts w:ascii="FangSong" w:hAnsi="FangSong" w:eastAsia="FangSong" w:cs="FangSong"/>
          <w:spacing w:val="-14"/>
          <w:sz w:val="32"/>
          <w:szCs w:val="32"/>
        </w:rPr>
        <w:t>得分</w:t>
      </w:r>
      <w:r>
        <w:rPr>
          <w:rFonts w:ascii="FangSong" w:hAnsi="FangSong" w:eastAsia="FangSong" w:cs="FangSong"/>
          <w:spacing w:val="-67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4"/>
          <w:sz w:val="32"/>
          <w:szCs w:val="32"/>
        </w:rPr>
        <w:t>0</w:t>
      </w:r>
      <w:r>
        <w:rPr>
          <w:rFonts w:ascii="FangSong" w:hAnsi="FangSong" w:eastAsia="FangSong" w:cs="FangSong"/>
          <w:spacing w:val="-56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4"/>
          <w:sz w:val="32"/>
          <w:szCs w:val="32"/>
        </w:rPr>
        <w:t>分。</w:t>
      </w:r>
    </w:p>
    <w:p>
      <w:pPr>
        <w:spacing w:before="1" w:line="223" w:lineRule="auto"/>
        <w:ind w:left="675"/>
        <w:outlineLvl w:val="3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6"/>
          <w:sz w:val="32"/>
          <w:szCs w:val="32"/>
        </w:rPr>
        <w:t>（2）分配管理</w:t>
      </w:r>
    </w:p>
    <w:p>
      <w:pPr>
        <w:spacing w:line="223" w:lineRule="auto"/>
        <w:rPr>
          <w:rFonts w:ascii="FangSong" w:hAnsi="FangSong" w:eastAsia="FangSong" w:cs="FangSong"/>
          <w:sz w:val="32"/>
          <w:szCs w:val="32"/>
        </w:rPr>
        <w:sectPr>
          <w:pgSz w:w="11906" w:h="16839"/>
          <w:pgMar w:top="1431" w:right="1706" w:bottom="0" w:left="1785" w:header="0" w:footer="0" w:gutter="0"/>
          <w:cols w:space="720" w:num="1"/>
        </w:sectPr>
      </w:pPr>
    </w:p>
    <w:p>
      <w:pPr>
        <w:spacing w:before="163" w:line="360" w:lineRule="auto"/>
        <w:ind w:left="35" w:right="117" w:firstLine="656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资金分配因素选取充分考虑了相关行业事业发展实际和发展需求，资金分配因素的权重设置有效突出了项目实施重点，资金区域分布结果公平合理，建设了项目储备库，实</w:t>
      </w:r>
      <w:r>
        <w:rPr>
          <w:rFonts w:ascii="FangSong" w:hAnsi="FangSong" w:eastAsia="FangSong" w:cs="FangSong"/>
          <w:spacing w:val="-12"/>
          <w:sz w:val="32"/>
          <w:szCs w:val="32"/>
        </w:rPr>
        <w:t>行了入库项目动态管理、推动了资金竞争性分配，</w:t>
      </w:r>
      <w:r>
        <w:rPr>
          <w:rFonts w:ascii="FangSong" w:hAnsi="FangSong" w:eastAsia="FangSong" w:cs="FangSong"/>
          <w:spacing w:val="11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2"/>
          <w:sz w:val="32"/>
          <w:szCs w:val="32"/>
        </w:rPr>
        <w:t>明确了项</w:t>
      </w:r>
      <w:r>
        <w:rPr>
          <w:rFonts w:ascii="FangSong" w:hAnsi="FangSong" w:eastAsia="FangSong" w:cs="FangSong"/>
          <w:spacing w:val="-2"/>
          <w:sz w:val="32"/>
          <w:szCs w:val="32"/>
        </w:rPr>
        <w:t>目申报审核程序，按规定程序履行了项目审批，资金分配依据充分合理，资金分配严格按管理办法执行，决策程序符合</w:t>
      </w:r>
      <w:r>
        <w:rPr>
          <w:rFonts w:ascii="FangSong" w:hAnsi="FangSong" w:eastAsia="FangSong" w:cs="FangSong"/>
          <w:spacing w:val="-6"/>
          <w:sz w:val="32"/>
          <w:szCs w:val="32"/>
        </w:rPr>
        <w:t>管理要求，及时高效，指标分值</w:t>
      </w:r>
      <w:r>
        <w:rPr>
          <w:rFonts w:ascii="FangSong" w:hAnsi="FangSong" w:eastAsia="FangSong" w:cs="FangSong"/>
          <w:spacing w:val="-40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6"/>
          <w:sz w:val="32"/>
          <w:szCs w:val="32"/>
        </w:rPr>
        <w:t>10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6"/>
          <w:sz w:val="32"/>
          <w:szCs w:val="32"/>
        </w:rPr>
        <w:t>分，自评得分</w:t>
      </w:r>
      <w:r>
        <w:rPr>
          <w:rFonts w:ascii="FangSong" w:hAnsi="FangSong" w:eastAsia="FangSong" w:cs="FangSong"/>
          <w:spacing w:val="-4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6"/>
          <w:sz w:val="32"/>
          <w:szCs w:val="32"/>
        </w:rPr>
        <w:t>10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6"/>
          <w:sz w:val="32"/>
          <w:szCs w:val="32"/>
        </w:rPr>
        <w:t>分。</w:t>
      </w:r>
    </w:p>
    <w:p>
      <w:pPr>
        <w:spacing w:line="223" w:lineRule="auto"/>
        <w:ind w:left="675"/>
        <w:outlineLvl w:val="3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6"/>
          <w:sz w:val="32"/>
          <w:szCs w:val="32"/>
        </w:rPr>
        <w:t>（3）绩效监管</w:t>
      </w:r>
    </w:p>
    <w:p>
      <w:pPr>
        <w:spacing w:before="237" w:line="360" w:lineRule="auto"/>
        <w:ind w:left="37" w:right="117" w:firstLine="638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项目按</w:t>
      </w:r>
      <w:r>
        <w:rPr>
          <w:rFonts w:ascii="FangSong" w:hAnsi="FangSong" w:eastAsia="FangSong" w:cs="FangSong"/>
          <w:spacing w:val="-2"/>
          <w:sz w:val="32"/>
          <w:szCs w:val="32"/>
        </w:rPr>
        <w:t>中央、省委</w:t>
      </w:r>
      <w:r>
        <w:rPr>
          <w:rFonts w:ascii="FangSong" w:hAnsi="FangSong" w:eastAsia="FangSong" w:cs="FangSong"/>
          <w:spacing w:val="-2"/>
          <w:sz w:val="32"/>
          <w:szCs w:val="32"/>
        </w:rPr>
        <w:t>要求全面完成绩效目标（含事前评估）、绩</w:t>
      </w:r>
      <w:r>
        <w:rPr>
          <w:rFonts w:ascii="FangSong" w:hAnsi="FangSong" w:eastAsia="FangSong" w:cs="FangSong"/>
          <w:spacing w:val="-11"/>
          <w:sz w:val="32"/>
          <w:szCs w:val="32"/>
        </w:rPr>
        <w:t>效评价、以前年度问题整改等预算绩效管理工作；</w:t>
      </w:r>
      <w:r>
        <w:rPr>
          <w:rFonts w:ascii="FangSong" w:hAnsi="FangSong" w:eastAsia="FangSong" w:cs="FangSong"/>
          <w:spacing w:val="87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1"/>
          <w:sz w:val="32"/>
          <w:szCs w:val="32"/>
        </w:rPr>
        <w:t>省级部门</w:t>
      </w:r>
      <w:r>
        <w:rPr>
          <w:rFonts w:ascii="FangSong" w:hAnsi="FangSong" w:eastAsia="FangSong" w:cs="FangSong"/>
          <w:spacing w:val="-2"/>
          <w:sz w:val="32"/>
          <w:szCs w:val="32"/>
        </w:rPr>
        <w:t>对市县主管部门预算绩效管理要求到位，不存在对市县资金分配和项目管理指导力度不够的情况，对市县开展了评价、</w:t>
      </w:r>
      <w:r>
        <w:rPr>
          <w:rFonts w:ascii="FangSong" w:hAnsi="FangSong" w:eastAsia="FangSong" w:cs="FangSong"/>
          <w:spacing w:val="-5"/>
          <w:sz w:val="32"/>
          <w:szCs w:val="32"/>
        </w:rPr>
        <w:t>监督、指导等工作，指标分值</w:t>
      </w:r>
      <w:r>
        <w:rPr>
          <w:rFonts w:ascii="FangSong" w:hAnsi="FangSong" w:eastAsia="FangSong" w:cs="FangSong"/>
          <w:spacing w:val="-63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6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分，自评得分</w:t>
      </w:r>
      <w:r>
        <w:rPr>
          <w:rFonts w:ascii="FangSong" w:hAnsi="FangSong" w:eastAsia="FangSong" w:cs="FangSong"/>
          <w:spacing w:val="-66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6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分。</w:t>
      </w:r>
    </w:p>
    <w:p>
      <w:pPr>
        <w:spacing w:before="33" w:line="324" w:lineRule="auto"/>
        <w:ind w:left="25" w:right="118" w:firstLine="646"/>
        <w:outlineLvl w:val="2"/>
        <w:rPr>
          <w:rFonts w:ascii="宋体" w:hAnsi="宋体" w:eastAsia="宋体" w:cs="宋体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5"/>
          <w:sz w:val="32"/>
          <w:szCs w:val="32"/>
        </w:rPr>
        <w:t>3.项目实施。围绕、进行绩效分析。</w:t>
      </w:r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指标分值</w:t>
      </w:r>
      <w:r>
        <w:rPr>
          <w:rFonts w:ascii="宋体" w:hAnsi="宋体" w:eastAsia="宋体" w:cs="宋体"/>
          <w:spacing w:val="-6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5"/>
          <w:sz w:val="32"/>
          <w:szCs w:val="32"/>
        </w:rPr>
        <w:t xml:space="preserve">9 </w:t>
      </w:r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分，自</w:t>
      </w: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评得分</w:t>
      </w:r>
      <w:r>
        <w:rPr>
          <w:rFonts w:ascii="宋体" w:hAnsi="宋体" w:eastAsia="宋体" w:cs="宋体"/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7"/>
          <w:sz w:val="32"/>
          <w:szCs w:val="32"/>
        </w:rPr>
        <w:t>9</w:t>
      </w:r>
      <w:r>
        <w:rPr>
          <w:rFonts w:ascii="Times New Roman" w:hAnsi="Times New Roman" w:eastAsia="Times New Roman" w:cs="Times New Roman"/>
          <w:b/>
          <w:bCs/>
          <w:spacing w:val="16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分</w:t>
      </w:r>
    </w:p>
    <w:p>
      <w:pPr>
        <w:spacing w:before="1" w:line="220" w:lineRule="auto"/>
        <w:ind w:left="675"/>
        <w:outlineLvl w:val="3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6"/>
          <w:sz w:val="32"/>
          <w:szCs w:val="32"/>
        </w:rPr>
        <w:t>（1）预算执行</w:t>
      </w:r>
    </w:p>
    <w:p>
      <w:pPr>
        <w:spacing w:before="241" w:line="360" w:lineRule="auto"/>
        <w:ind w:left="35" w:firstLine="64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7"/>
          <w:sz w:val="32"/>
          <w:szCs w:val="32"/>
        </w:rPr>
        <w:t>预算执行:项目预算资金</w:t>
      </w:r>
      <w:r>
        <w:rPr>
          <w:rFonts w:ascii="FangSong" w:hAnsi="FangSong" w:eastAsia="FangSong" w:cs="FangSong"/>
          <w:spacing w:val="-41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7"/>
          <w:sz w:val="32"/>
          <w:szCs w:val="32"/>
        </w:rPr>
        <w:t>12.95</w:t>
      </w:r>
      <w:r>
        <w:rPr>
          <w:rFonts w:ascii="FangSong" w:hAnsi="FangSong" w:eastAsia="FangSong" w:cs="FangSong"/>
          <w:spacing w:val="-56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7"/>
          <w:sz w:val="32"/>
          <w:szCs w:val="32"/>
        </w:rPr>
        <w:t>万元，支付</w:t>
      </w:r>
      <w:r>
        <w:rPr>
          <w:rFonts w:ascii="FangSong" w:hAnsi="FangSong" w:eastAsia="FangSong" w:cs="FangSong"/>
          <w:spacing w:val="-4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7"/>
          <w:sz w:val="32"/>
          <w:szCs w:val="32"/>
        </w:rPr>
        <w:t>12.95</w:t>
      </w:r>
      <w:r>
        <w:rPr>
          <w:rFonts w:ascii="FangSong" w:hAnsi="FangSong" w:eastAsia="FangSong" w:cs="FangSong"/>
          <w:spacing w:val="-57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7"/>
          <w:sz w:val="32"/>
          <w:szCs w:val="32"/>
        </w:rPr>
        <w:t>万元。</w:t>
      </w:r>
      <w:r>
        <w:rPr>
          <w:rFonts w:ascii="FangSong" w:hAnsi="FangSong" w:eastAsia="FangSong" w:cs="FangSong"/>
          <w:spacing w:val="-8"/>
          <w:sz w:val="32"/>
          <w:szCs w:val="32"/>
        </w:rPr>
        <w:t>指标分值</w:t>
      </w:r>
      <w:r>
        <w:rPr>
          <w:rFonts w:ascii="FangSong" w:hAnsi="FangSong" w:eastAsia="FangSong" w:cs="FangSong"/>
          <w:spacing w:val="-63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8"/>
          <w:sz w:val="32"/>
          <w:szCs w:val="32"/>
        </w:rPr>
        <w:t>6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8"/>
          <w:sz w:val="32"/>
          <w:szCs w:val="32"/>
        </w:rPr>
        <w:t>分，自评得分</w:t>
      </w:r>
      <w:r>
        <w:rPr>
          <w:rFonts w:ascii="FangSong" w:hAnsi="FangSong" w:eastAsia="FangSong" w:cs="FangSong"/>
          <w:spacing w:val="-66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8"/>
          <w:sz w:val="32"/>
          <w:szCs w:val="32"/>
        </w:rPr>
        <w:t>6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8"/>
          <w:sz w:val="32"/>
          <w:szCs w:val="32"/>
        </w:rPr>
        <w:t>分。</w:t>
      </w:r>
    </w:p>
    <w:p>
      <w:pPr>
        <w:spacing w:line="222" w:lineRule="auto"/>
        <w:ind w:left="675"/>
        <w:outlineLvl w:val="3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6"/>
          <w:sz w:val="32"/>
          <w:szCs w:val="32"/>
        </w:rPr>
        <w:t>（2）资金使用</w:t>
      </w:r>
    </w:p>
    <w:p>
      <w:pPr>
        <w:spacing w:before="237" w:line="360" w:lineRule="auto"/>
        <w:ind w:left="39" w:right="117" w:firstLine="637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项目资金使用、拨付符合国家财经法规、财务管理制度及有关专项资金管理制度办法规定和审批程序，不存在超范</w:t>
      </w:r>
      <w:r>
        <w:rPr>
          <w:rFonts w:ascii="FangSong" w:hAnsi="FangSong" w:eastAsia="FangSong" w:cs="FangSong"/>
          <w:spacing w:val="-3"/>
          <w:sz w:val="32"/>
          <w:szCs w:val="32"/>
        </w:rPr>
        <w:t>围、超标准、超进度使用专项资金，不存在资金损失浪费、</w:t>
      </w:r>
    </w:p>
    <w:p>
      <w:pPr>
        <w:spacing w:line="360" w:lineRule="auto"/>
        <w:rPr>
          <w:rFonts w:ascii="FangSong" w:hAnsi="FangSong" w:eastAsia="FangSong" w:cs="FangSong"/>
          <w:sz w:val="32"/>
          <w:szCs w:val="32"/>
        </w:rPr>
        <w:sectPr>
          <w:pgSz w:w="11906" w:h="16839"/>
          <w:pgMar w:top="1431" w:right="1682" w:bottom="0" w:left="1785" w:header="0" w:footer="0" w:gutter="0"/>
          <w:cols w:space="720" w:num="1"/>
        </w:sectPr>
      </w:pPr>
    </w:p>
    <w:p>
      <w:pPr>
        <w:spacing w:before="162" w:line="361" w:lineRule="auto"/>
        <w:ind w:left="32" w:right="108" w:firstLine="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11"/>
          <w:sz w:val="32"/>
          <w:szCs w:val="32"/>
        </w:rPr>
        <w:t>长期沉淀、截留、挤占、挪用、虚列支出等情况，</w:t>
      </w:r>
      <w:r>
        <w:rPr>
          <w:rFonts w:ascii="FangSong" w:hAnsi="FangSong" w:eastAsia="FangSong" w:cs="FangSong"/>
          <w:spacing w:val="89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1"/>
          <w:sz w:val="32"/>
          <w:szCs w:val="32"/>
        </w:rPr>
        <w:t>项目实施</w:t>
      </w:r>
      <w:r>
        <w:rPr>
          <w:rFonts w:ascii="FangSong" w:hAnsi="FangSong" w:eastAsia="FangSong" w:cs="FangSong"/>
          <w:spacing w:val="-5"/>
          <w:sz w:val="32"/>
          <w:szCs w:val="32"/>
        </w:rPr>
        <w:t>遵守相关法律法规，指标分值</w:t>
      </w:r>
      <w:r>
        <w:rPr>
          <w:rFonts w:ascii="FangSong" w:hAnsi="FangSong" w:eastAsia="FangSong" w:cs="FangSong"/>
          <w:spacing w:val="-62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3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分，自评得分</w:t>
      </w:r>
      <w:r>
        <w:rPr>
          <w:rFonts w:ascii="FangSong" w:hAnsi="FangSong" w:eastAsia="FangSong" w:cs="FangSong"/>
          <w:spacing w:val="-62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3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分。</w:t>
      </w:r>
    </w:p>
    <w:p>
      <w:pPr>
        <w:spacing w:before="31" w:line="222" w:lineRule="auto"/>
        <w:ind w:left="664"/>
        <w:outlineLvl w:val="2"/>
        <w:rPr>
          <w:rFonts w:ascii="宋体" w:hAnsi="宋体" w:eastAsia="宋体" w:cs="宋体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6"/>
          <w:sz w:val="32"/>
          <w:szCs w:val="32"/>
        </w:rPr>
        <w:t>4.项目结果。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指标分值</w:t>
      </w:r>
      <w:r>
        <w:rPr>
          <w:rFonts w:ascii="宋体" w:hAnsi="宋体" w:eastAsia="宋体" w:cs="宋体"/>
          <w:spacing w:val="-6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6"/>
          <w:sz w:val="32"/>
          <w:szCs w:val="32"/>
        </w:rPr>
        <w:t xml:space="preserve">9 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分，</w:t>
      </w:r>
      <w:r>
        <w:rPr>
          <w:rFonts w:ascii="宋体" w:hAnsi="宋体" w:eastAsia="宋体" w:cs="宋体"/>
          <w:spacing w:val="-92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自评得分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6"/>
          <w:sz w:val="32"/>
          <w:szCs w:val="32"/>
        </w:rPr>
        <w:t xml:space="preserve">9 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分</w:t>
      </w:r>
    </w:p>
    <w:p>
      <w:pPr>
        <w:spacing w:before="160" w:line="222" w:lineRule="auto"/>
        <w:ind w:left="675"/>
        <w:outlineLvl w:val="3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17"/>
          <w:sz w:val="32"/>
          <w:szCs w:val="32"/>
        </w:rPr>
        <w:t>（1）</w:t>
      </w:r>
      <w:r>
        <w:rPr>
          <w:rFonts w:ascii="FangSong" w:hAnsi="FangSong" w:eastAsia="FangSong" w:cs="FangSong"/>
          <w:spacing w:val="-80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17"/>
          <w:sz w:val="32"/>
          <w:szCs w:val="32"/>
        </w:rPr>
        <w:t>目标完成</w:t>
      </w:r>
    </w:p>
    <w:p>
      <w:pPr>
        <w:spacing w:before="238" w:line="360" w:lineRule="auto"/>
        <w:ind w:left="35" w:right="108" w:firstLine="696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4"/>
          <w:sz w:val="32"/>
          <w:szCs w:val="32"/>
        </w:rPr>
        <w:t>目标完成：资金项目内容与具体实施内容相符的、申报</w:t>
      </w:r>
      <w:r>
        <w:rPr>
          <w:rFonts w:ascii="FangSong" w:hAnsi="FangSong" w:eastAsia="FangSong" w:cs="FangSong"/>
          <w:spacing w:val="-2"/>
          <w:sz w:val="32"/>
          <w:szCs w:val="32"/>
        </w:rPr>
        <w:t>目标是合理可行。项目运行成本、管理效率、履职效能、社会效应、可持续发展能力和服务对象满意度等方面均取得良</w:t>
      </w:r>
      <w:r>
        <w:rPr>
          <w:rFonts w:ascii="FangSong" w:hAnsi="FangSong" w:eastAsia="FangSong" w:cs="FangSong"/>
          <w:spacing w:val="2"/>
          <w:sz w:val="32"/>
          <w:szCs w:val="32"/>
        </w:rPr>
        <w:t>好成果，预算绩效实现全覆盖。截止</w:t>
      </w:r>
      <w:r>
        <w:rPr>
          <w:rFonts w:ascii="FangSong" w:hAnsi="FangSong" w:eastAsia="FangSong" w:cs="FangSong"/>
          <w:spacing w:val="-4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2"/>
          <w:sz w:val="32"/>
          <w:szCs w:val="32"/>
        </w:rPr>
        <w:t>2025</w:t>
      </w:r>
      <w:r>
        <w:rPr>
          <w:rFonts w:ascii="FangSong" w:hAnsi="FangSong" w:eastAsia="FangSong" w:cs="FangSong"/>
          <w:spacing w:val="-46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2"/>
          <w:sz w:val="32"/>
          <w:szCs w:val="32"/>
        </w:rPr>
        <w:t>年底完成项目资</w:t>
      </w:r>
      <w:r>
        <w:rPr>
          <w:rFonts w:ascii="FangSong" w:hAnsi="FangSong" w:eastAsia="FangSong" w:cs="FangSong"/>
          <w:spacing w:val="-6"/>
          <w:sz w:val="32"/>
          <w:szCs w:val="32"/>
        </w:rPr>
        <w:t>金拨付。指标分值</w:t>
      </w:r>
      <w:r>
        <w:rPr>
          <w:rFonts w:ascii="FangSong" w:hAnsi="FangSong" w:eastAsia="FangSong" w:cs="FangSong"/>
          <w:spacing w:val="-67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6"/>
          <w:sz w:val="32"/>
          <w:szCs w:val="32"/>
        </w:rPr>
        <w:t>6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6"/>
          <w:sz w:val="32"/>
          <w:szCs w:val="32"/>
        </w:rPr>
        <w:t>分，自评得分</w:t>
      </w:r>
      <w:r>
        <w:rPr>
          <w:rFonts w:ascii="FangSong" w:hAnsi="FangSong" w:eastAsia="FangSong" w:cs="FangSong"/>
          <w:spacing w:val="-66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6"/>
          <w:sz w:val="32"/>
          <w:szCs w:val="32"/>
        </w:rPr>
        <w:t>6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6"/>
          <w:sz w:val="32"/>
          <w:szCs w:val="32"/>
        </w:rPr>
        <w:t>分。</w:t>
      </w:r>
    </w:p>
    <w:p>
      <w:pPr>
        <w:spacing w:line="223" w:lineRule="auto"/>
        <w:ind w:left="675"/>
        <w:outlineLvl w:val="3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6"/>
          <w:sz w:val="32"/>
          <w:szCs w:val="32"/>
        </w:rPr>
        <w:t>（2）完成时效</w:t>
      </w:r>
    </w:p>
    <w:p>
      <w:pPr>
        <w:spacing w:before="237" w:line="361" w:lineRule="auto"/>
        <w:ind w:left="34" w:right="108" w:firstLine="647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完成时效：项目实际完成时间与计划完成时间相符，指</w:t>
      </w:r>
      <w:r>
        <w:rPr>
          <w:rFonts w:ascii="FangSong" w:hAnsi="FangSong" w:eastAsia="FangSong" w:cs="FangSong"/>
          <w:spacing w:val="-9"/>
          <w:sz w:val="32"/>
          <w:szCs w:val="32"/>
        </w:rPr>
        <w:t>标分值</w:t>
      </w:r>
      <w:r>
        <w:rPr>
          <w:rFonts w:ascii="FangSong" w:hAnsi="FangSong" w:eastAsia="FangSong" w:cs="FangSong"/>
          <w:spacing w:val="-61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9"/>
          <w:sz w:val="32"/>
          <w:szCs w:val="32"/>
        </w:rPr>
        <w:t>3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9"/>
          <w:sz w:val="32"/>
          <w:szCs w:val="32"/>
        </w:rPr>
        <w:t>分，自评得分</w:t>
      </w:r>
      <w:r>
        <w:rPr>
          <w:rFonts w:ascii="FangSong" w:hAnsi="FangSong" w:eastAsia="FangSong" w:cs="FangSong"/>
          <w:spacing w:val="-62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9"/>
          <w:sz w:val="32"/>
          <w:szCs w:val="32"/>
        </w:rPr>
        <w:t>3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9"/>
          <w:sz w:val="32"/>
          <w:szCs w:val="32"/>
        </w:rPr>
        <w:t>分。</w:t>
      </w:r>
    </w:p>
    <w:p>
      <w:pPr>
        <w:spacing w:before="29" w:line="324" w:lineRule="auto"/>
        <w:ind w:left="31" w:right="190" w:firstLine="643"/>
        <w:outlineLvl w:val="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8"/>
          <w:sz w:val="32"/>
          <w:szCs w:val="32"/>
        </w:rPr>
        <w:t>（二）专用指标绩效分析。指标分值</w:t>
      </w:r>
      <w:r>
        <w:rPr>
          <w:rFonts w:ascii="FangSong" w:hAnsi="FangSong" w:eastAsia="FangSong" w:cs="FangSong"/>
          <w:spacing w:val="-41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8"/>
          <w:sz w:val="32"/>
          <w:szCs w:val="32"/>
        </w:rPr>
        <w:t>30</w:t>
      </w:r>
      <w:r>
        <w:rPr>
          <w:rFonts w:ascii="FangSong" w:hAnsi="FangSong" w:eastAsia="FangSong" w:cs="FangSong"/>
          <w:spacing w:val="-53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8"/>
          <w:sz w:val="32"/>
          <w:szCs w:val="32"/>
        </w:rPr>
        <w:t>分，</w:t>
      </w:r>
      <w:r>
        <w:rPr>
          <w:rFonts w:ascii="FangSong" w:hAnsi="FangSong" w:eastAsia="FangSong" w:cs="FangSong"/>
          <w:spacing w:val="-73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8"/>
          <w:sz w:val="32"/>
          <w:szCs w:val="32"/>
        </w:rPr>
        <w:t>自评得分</w:t>
      </w:r>
      <w:r>
        <w:rPr>
          <w:rFonts w:ascii="FangSong" w:hAnsi="FangSong" w:eastAsia="FangSong" w:cs="FangSong"/>
          <w:b/>
          <w:bCs/>
          <w:spacing w:val="-9"/>
          <w:sz w:val="32"/>
          <w:szCs w:val="32"/>
        </w:rPr>
        <w:t>30</w:t>
      </w:r>
      <w:r>
        <w:rPr>
          <w:rFonts w:ascii="FangSong" w:hAnsi="FangSong" w:eastAsia="FangSong" w:cs="FangSong"/>
          <w:spacing w:val="-54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9"/>
          <w:sz w:val="32"/>
          <w:szCs w:val="32"/>
        </w:rPr>
        <w:t>分</w:t>
      </w:r>
    </w:p>
    <w:p>
      <w:pPr>
        <w:spacing w:line="360" w:lineRule="auto"/>
        <w:ind w:left="36" w:right="108" w:firstLine="638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用途合规性：该项目规定用途、适用范围进行本地区专</w:t>
      </w:r>
      <w:r>
        <w:rPr>
          <w:rFonts w:ascii="FangSong" w:hAnsi="FangSong" w:eastAsia="FangSong" w:cs="FangSong"/>
          <w:spacing w:val="-7"/>
          <w:sz w:val="32"/>
          <w:szCs w:val="32"/>
        </w:rPr>
        <w:t>项资金分配。指标分值</w:t>
      </w:r>
      <w:r>
        <w:rPr>
          <w:rFonts w:ascii="FangSong" w:hAnsi="FangSong" w:eastAsia="FangSong" w:cs="FangSong"/>
          <w:spacing w:val="-43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7"/>
          <w:sz w:val="32"/>
          <w:szCs w:val="32"/>
        </w:rPr>
        <w:t>10</w:t>
      </w:r>
      <w:r>
        <w:rPr>
          <w:rFonts w:ascii="FangSong" w:hAnsi="FangSong" w:eastAsia="FangSong" w:cs="FangSong"/>
          <w:spacing w:val="-56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7"/>
          <w:sz w:val="32"/>
          <w:szCs w:val="32"/>
        </w:rPr>
        <w:t>分，自评得分</w:t>
      </w:r>
      <w:r>
        <w:rPr>
          <w:rFonts w:ascii="FangSong" w:hAnsi="FangSong" w:eastAsia="FangSong" w:cs="FangSong"/>
          <w:spacing w:val="-4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7"/>
          <w:sz w:val="32"/>
          <w:szCs w:val="32"/>
        </w:rPr>
        <w:t>10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7"/>
          <w:sz w:val="32"/>
          <w:szCs w:val="32"/>
        </w:rPr>
        <w:t>分。</w:t>
      </w:r>
    </w:p>
    <w:p>
      <w:pPr>
        <w:spacing w:before="8" w:line="359" w:lineRule="auto"/>
        <w:ind w:left="34" w:firstLine="643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5"/>
          <w:sz w:val="32"/>
          <w:szCs w:val="32"/>
        </w:rPr>
        <w:t>程序合规性：</w:t>
      </w:r>
      <w:r>
        <w:rPr>
          <w:rFonts w:ascii="FangSong" w:hAnsi="FangSong" w:eastAsia="FangSong" w:cs="FangSong"/>
          <w:spacing w:val="-79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目资金分配均衡公平，资金实际支持对象</w:t>
      </w:r>
      <w:r>
        <w:rPr>
          <w:rFonts w:ascii="FangSong" w:hAnsi="FangSong" w:eastAsia="FangSong" w:cs="FangSong"/>
          <w:spacing w:val="-2"/>
          <w:sz w:val="32"/>
          <w:szCs w:val="32"/>
        </w:rPr>
        <w:t>符合管理要求，符合支持对象范围，资金实际补贴标准符合资金管理办法规定的补助标准，及时按标准兑现，资金涉及</w:t>
      </w:r>
      <w:r>
        <w:rPr>
          <w:rFonts w:ascii="FangSong" w:hAnsi="FangSong" w:eastAsia="FangSong" w:cs="FangSong"/>
          <w:spacing w:val="-7"/>
          <w:sz w:val="32"/>
          <w:szCs w:val="32"/>
        </w:rPr>
        <w:t>服务对象满意度不低于</w:t>
      </w:r>
      <w:r>
        <w:rPr>
          <w:rFonts w:ascii="FangSong" w:hAnsi="FangSong" w:eastAsia="FangSong" w:cs="FangSong"/>
          <w:spacing w:val="-51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7"/>
          <w:sz w:val="32"/>
          <w:szCs w:val="32"/>
        </w:rPr>
        <w:t>96%，项目用途合规性、程序合规性、标准合规性。指标分值</w:t>
      </w:r>
      <w:r>
        <w:rPr>
          <w:rFonts w:ascii="FangSong" w:hAnsi="FangSong" w:eastAsia="FangSong" w:cs="FangSong"/>
          <w:spacing w:val="-41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7"/>
          <w:sz w:val="32"/>
          <w:szCs w:val="32"/>
        </w:rPr>
        <w:t>10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7"/>
          <w:sz w:val="32"/>
          <w:szCs w:val="32"/>
        </w:rPr>
        <w:t>分，自评得分</w:t>
      </w:r>
      <w:r>
        <w:rPr>
          <w:rFonts w:ascii="FangSong" w:hAnsi="FangSong" w:eastAsia="FangSong" w:cs="FangSong"/>
          <w:spacing w:val="-4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7"/>
          <w:sz w:val="32"/>
          <w:szCs w:val="32"/>
        </w:rPr>
        <w:t>10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7"/>
          <w:sz w:val="32"/>
          <w:szCs w:val="32"/>
        </w:rPr>
        <w:t>分。</w:t>
      </w:r>
    </w:p>
    <w:p>
      <w:pPr>
        <w:spacing w:before="1" w:line="220" w:lineRule="auto"/>
        <w:ind w:left="674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6"/>
          <w:sz w:val="32"/>
          <w:szCs w:val="32"/>
        </w:rPr>
        <w:t>标准合规性:严格按照县委县政府和财政标准要求，准</w:t>
      </w:r>
    </w:p>
    <w:p>
      <w:pPr>
        <w:spacing w:line="220" w:lineRule="auto"/>
        <w:rPr>
          <w:rFonts w:ascii="FangSong" w:hAnsi="FangSong" w:eastAsia="FangSong" w:cs="FangSong"/>
          <w:sz w:val="32"/>
          <w:szCs w:val="32"/>
        </w:rPr>
        <w:sectPr>
          <w:pgSz w:w="11906" w:h="16839"/>
          <w:pgMar w:top="1431" w:right="1691" w:bottom="0" w:left="1785" w:header="0" w:footer="0" w:gutter="0"/>
          <w:cols w:space="720" w:num="1"/>
        </w:sectPr>
      </w:pPr>
    </w:p>
    <w:p>
      <w:pPr>
        <w:spacing w:before="163" w:line="361" w:lineRule="auto"/>
        <w:ind w:left="35" w:right="174" w:firstLine="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确编制预算，确保项目的长期效益和持续运行，提高项目的</w:t>
      </w:r>
      <w:r>
        <w:rPr>
          <w:rFonts w:ascii="FangSong" w:hAnsi="FangSong" w:eastAsia="FangSong" w:cs="FangSong"/>
          <w:spacing w:val="-8"/>
          <w:sz w:val="32"/>
          <w:szCs w:val="32"/>
        </w:rPr>
        <w:t>整体价值。指标分值</w:t>
      </w:r>
      <w:r>
        <w:rPr>
          <w:rFonts w:ascii="FangSong" w:hAnsi="FangSong" w:eastAsia="FangSong" w:cs="FangSong"/>
          <w:spacing w:val="-28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8"/>
          <w:sz w:val="32"/>
          <w:szCs w:val="32"/>
        </w:rPr>
        <w:t>10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8"/>
          <w:sz w:val="32"/>
          <w:szCs w:val="32"/>
        </w:rPr>
        <w:t>分，自评得分</w:t>
      </w:r>
      <w:r>
        <w:rPr>
          <w:rFonts w:ascii="FangSong" w:hAnsi="FangSong" w:eastAsia="FangSong" w:cs="FangSong"/>
          <w:spacing w:val="-4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8"/>
          <w:sz w:val="32"/>
          <w:szCs w:val="32"/>
        </w:rPr>
        <w:t>10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8"/>
          <w:sz w:val="32"/>
          <w:szCs w:val="32"/>
        </w:rPr>
        <w:t>分。</w:t>
      </w:r>
    </w:p>
    <w:p>
      <w:pPr>
        <w:spacing w:before="29" w:line="324" w:lineRule="auto"/>
        <w:ind w:left="48" w:right="255" w:firstLine="626"/>
        <w:outlineLvl w:val="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8"/>
          <w:sz w:val="32"/>
          <w:szCs w:val="32"/>
        </w:rPr>
        <w:t>（三）个性指标绩效分析。指标分值</w:t>
      </w:r>
      <w:r>
        <w:rPr>
          <w:rFonts w:ascii="FangSong" w:hAnsi="FangSong" w:eastAsia="FangSong" w:cs="FangSong"/>
          <w:spacing w:val="-41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8"/>
          <w:sz w:val="32"/>
          <w:szCs w:val="32"/>
        </w:rPr>
        <w:t>16</w:t>
      </w:r>
      <w:r>
        <w:rPr>
          <w:rFonts w:ascii="FangSong" w:hAnsi="FangSong" w:eastAsia="FangSong" w:cs="FangSong"/>
          <w:spacing w:val="-53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8"/>
          <w:sz w:val="32"/>
          <w:szCs w:val="32"/>
        </w:rPr>
        <w:t>分，</w:t>
      </w:r>
      <w:r>
        <w:rPr>
          <w:rFonts w:ascii="FangSong" w:hAnsi="FangSong" w:eastAsia="FangSong" w:cs="FangSong"/>
          <w:spacing w:val="-73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8"/>
          <w:sz w:val="32"/>
          <w:szCs w:val="32"/>
        </w:rPr>
        <w:t>自评得分</w:t>
      </w:r>
      <w:r>
        <w:rPr>
          <w:rFonts w:ascii="FangSong" w:hAnsi="FangSong" w:eastAsia="FangSong" w:cs="FangSong"/>
          <w:b/>
          <w:bCs/>
          <w:spacing w:val="-15"/>
          <w:sz w:val="32"/>
          <w:szCs w:val="32"/>
        </w:rPr>
        <w:t>14</w:t>
      </w:r>
      <w:r>
        <w:rPr>
          <w:rFonts w:ascii="FangSong" w:hAnsi="FangSong" w:eastAsia="FangSong" w:cs="FangSong"/>
          <w:spacing w:val="-54"/>
          <w:sz w:val="32"/>
          <w:szCs w:val="32"/>
        </w:rPr>
        <w:t xml:space="preserve"> </w:t>
      </w:r>
      <w:r>
        <w:rPr>
          <w:rFonts w:ascii="FangSong" w:hAnsi="FangSong" w:eastAsia="FangSong" w:cs="FangSong"/>
          <w:b/>
          <w:bCs/>
          <w:spacing w:val="-15"/>
          <w:sz w:val="32"/>
          <w:szCs w:val="32"/>
        </w:rPr>
        <w:t>分</w:t>
      </w:r>
    </w:p>
    <w:p>
      <w:pPr>
        <w:spacing w:line="360" w:lineRule="auto"/>
        <w:ind w:left="1" w:right="169" w:firstLine="674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本单位在规定时间内做好拍摄制作《高原守望  碉楼文</w:t>
      </w:r>
      <w:r>
        <w:rPr>
          <w:rFonts w:ascii="FangSong" w:hAnsi="FangSong" w:eastAsia="FangSong" w:cs="FangSong"/>
          <w:spacing w:val="-6"/>
          <w:sz w:val="32"/>
          <w:szCs w:val="32"/>
        </w:rPr>
        <w:t>明》口述历史纪录片个性化绩效评价指标， 具有特定的针对</w:t>
      </w:r>
      <w:r>
        <w:rPr>
          <w:rFonts w:ascii="FangSong" w:hAnsi="FangSong" w:eastAsia="FangSong" w:cs="FangSong"/>
          <w:spacing w:val="10"/>
          <w:sz w:val="32"/>
          <w:szCs w:val="32"/>
        </w:rPr>
        <w:t>性，</w:t>
      </w:r>
      <w:r>
        <w:rPr>
          <w:rFonts w:ascii="FangSong" w:hAnsi="FangSong" w:eastAsia="FangSong" w:cs="FangSong"/>
          <w:spacing w:val="-93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10"/>
          <w:sz w:val="32"/>
          <w:szCs w:val="32"/>
        </w:rPr>
        <w:t>能够更好地反映其特定业务领域的表现，将最古老的</w:t>
      </w:r>
      <w:r>
        <w:rPr>
          <w:rFonts w:ascii="FangSong" w:hAnsi="FangSong" w:eastAsia="FangSong" w:cs="FangSong"/>
          <w:spacing w:val="-3"/>
          <w:sz w:val="32"/>
          <w:szCs w:val="32"/>
        </w:rPr>
        <w:t>“说历史</w:t>
      </w:r>
      <w:r>
        <w:rPr>
          <w:rFonts w:ascii="FangSong" w:hAnsi="FangSong" w:eastAsia="FangSong" w:cs="FangSong"/>
          <w:spacing w:val="-118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3"/>
          <w:sz w:val="32"/>
          <w:szCs w:val="32"/>
        </w:rPr>
        <w:t>”“听历史</w:t>
      </w:r>
      <w:r>
        <w:rPr>
          <w:rFonts w:ascii="FangSong" w:hAnsi="FangSong" w:eastAsia="FangSong" w:cs="FangSong"/>
          <w:spacing w:val="-117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3"/>
          <w:sz w:val="32"/>
          <w:szCs w:val="32"/>
        </w:rPr>
        <w:t>”的治史方式与影视传媒的</w:t>
      </w:r>
      <w:r>
        <w:rPr>
          <w:rFonts w:ascii="FangSong" w:hAnsi="FangSong" w:eastAsia="FangSong" w:cs="FangSong"/>
          <w:spacing w:val="-4"/>
          <w:sz w:val="32"/>
          <w:szCs w:val="32"/>
        </w:rPr>
        <w:t>文本创作结</w:t>
      </w:r>
      <w:r>
        <w:rPr>
          <w:rFonts w:ascii="FangSong" w:hAnsi="FangSong" w:eastAsia="FangSong" w:cs="FangSong"/>
          <w:spacing w:val="-2"/>
          <w:sz w:val="32"/>
          <w:szCs w:val="32"/>
        </w:rPr>
        <w:t>合起来,用于</w:t>
      </w:r>
      <w:r>
        <w:rPr>
          <w:rFonts w:ascii="FangSong" w:hAnsi="FangSong" w:eastAsia="FangSong" w:cs="FangSong"/>
          <w:spacing w:val="-2"/>
          <w:sz w:val="32"/>
          <w:szCs w:val="32"/>
        </w:rPr>
        <w:t>党史学习教育</w:t>
      </w:r>
      <w:r>
        <w:rPr>
          <w:rFonts w:ascii="FangSong" w:hAnsi="FangSong" w:eastAsia="FangSong" w:cs="FangSong"/>
          <w:spacing w:val="-2"/>
          <w:sz w:val="32"/>
          <w:szCs w:val="32"/>
        </w:rPr>
        <w:t>，宣传黑水文化。</w:t>
      </w:r>
    </w:p>
    <w:p>
      <w:pPr>
        <w:spacing w:before="5" w:line="359" w:lineRule="auto"/>
        <w:ind w:left="1" w:firstLine="731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1"/>
          <w:sz w:val="32"/>
          <w:szCs w:val="32"/>
        </w:rPr>
        <w:t>口述历史纪录片:通过项目实施,将最古老的“说历史</w:t>
      </w:r>
      <w:r>
        <w:rPr>
          <w:rFonts w:ascii="FangSong" w:hAnsi="FangSong" w:eastAsia="FangSong" w:cs="FangSong"/>
          <w:spacing w:val="-10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1"/>
          <w:sz w:val="32"/>
          <w:szCs w:val="32"/>
        </w:rPr>
        <w:t>”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2"/>
          <w:sz w:val="32"/>
          <w:szCs w:val="32"/>
        </w:rPr>
        <w:t>“</w:t>
      </w:r>
      <w:r>
        <w:rPr>
          <w:rFonts w:ascii="FangSong" w:hAnsi="FangSong" w:eastAsia="FangSong" w:cs="FangSong"/>
          <w:spacing w:val="-103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2"/>
          <w:sz w:val="32"/>
          <w:szCs w:val="32"/>
        </w:rPr>
        <w:t>听历史</w:t>
      </w:r>
      <w:r>
        <w:rPr>
          <w:rFonts w:ascii="FangSong" w:hAnsi="FangSong" w:eastAsia="FangSong" w:cs="FangSong"/>
          <w:spacing w:val="-112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2"/>
          <w:sz w:val="32"/>
          <w:szCs w:val="32"/>
        </w:rPr>
        <w:t>”的治史方式与影视传媒的文本创作结合起来,用</w:t>
      </w:r>
      <w:r>
        <w:rPr>
          <w:rFonts w:ascii="FangSong" w:hAnsi="FangSong" w:eastAsia="FangSong" w:cs="FangSong"/>
          <w:spacing w:val="-10"/>
          <w:sz w:val="32"/>
          <w:szCs w:val="32"/>
        </w:rPr>
        <w:t>于</w:t>
      </w:r>
      <w:r>
        <w:rPr>
          <w:rFonts w:ascii="FangSong" w:hAnsi="FangSong" w:eastAsia="FangSong" w:cs="FangSong"/>
          <w:spacing w:val="-10"/>
          <w:sz w:val="32"/>
          <w:szCs w:val="32"/>
        </w:rPr>
        <w:t>党史学习教育</w:t>
      </w:r>
      <w:r>
        <w:rPr>
          <w:rFonts w:ascii="FangSong" w:hAnsi="FangSong" w:eastAsia="FangSong" w:cs="FangSong"/>
          <w:spacing w:val="-10"/>
          <w:sz w:val="32"/>
          <w:szCs w:val="32"/>
        </w:rPr>
        <w:t>，宣传黑水文化。指标分值</w:t>
      </w:r>
      <w:r>
        <w:rPr>
          <w:rFonts w:ascii="FangSong" w:hAnsi="FangSong" w:eastAsia="FangSong" w:cs="FangSong"/>
          <w:spacing w:val="-51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0"/>
          <w:sz w:val="32"/>
          <w:szCs w:val="32"/>
        </w:rPr>
        <w:t>8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0"/>
          <w:sz w:val="32"/>
          <w:szCs w:val="32"/>
        </w:rPr>
        <w:t>分，自评得分</w:t>
      </w:r>
      <w:r>
        <w:rPr>
          <w:rFonts w:ascii="FangSong" w:hAnsi="FangSong" w:eastAsia="FangSong" w:cs="FangSong"/>
          <w:spacing w:val="-61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0"/>
          <w:sz w:val="32"/>
          <w:szCs w:val="32"/>
        </w:rPr>
        <w:t>7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0"/>
          <w:sz w:val="32"/>
          <w:szCs w:val="32"/>
        </w:rPr>
        <w:t>分。</w:t>
      </w:r>
    </w:p>
    <w:p>
      <w:pPr>
        <w:spacing w:line="360" w:lineRule="auto"/>
        <w:ind w:left="34" w:right="174" w:firstLine="646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可持续影响指标：为后人提供党史史料的作用。指标分</w:t>
      </w:r>
      <w:r>
        <w:rPr>
          <w:rFonts w:ascii="FangSong" w:hAnsi="FangSong" w:eastAsia="FangSong" w:cs="FangSong"/>
          <w:spacing w:val="-11"/>
          <w:sz w:val="32"/>
          <w:szCs w:val="32"/>
        </w:rPr>
        <w:t>值</w:t>
      </w:r>
      <w:r>
        <w:rPr>
          <w:rFonts w:ascii="FangSong" w:hAnsi="FangSong" w:eastAsia="FangSong" w:cs="FangSong"/>
          <w:spacing w:val="-58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1"/>
          <w:sz w:val="32"/>
          <w:szCs w:val="32"/>
        </w:rPr>
        <w:t>8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1"/>
          <w:sz w:val="32"/>
          <w:szCs w:val="32"/>
        </w:rPr>
        <w:t>分，自评得分</w:t>
      </w:r>
      <w:r>
        <w:rPr>
          <w:rFonts w:ascii="FangSong" w:hAnsi="FangSong" w:eastAsia="FangSong" w:cs="FangSong"/>
          <w:spacing w:val="-61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1"/>
          <w:sz w:val="32"/>
          <w:szCs w:val="32"/>
        </w:rPr>
        <w:t>7</w:t>
      </w:r>
      <w:r>
        <w:rPr>
          <w:rFonts w:ascii="FangSong" w:hAnsi="FangSong" w:eastAsia="FangSong" w:cs="FangSong"/>
          <w:spacing w:val="-55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1"/>
          <w:sz w:val="32"/>
          <w:szCs w:val="32"/>
        </w:rPr>
        <w:t>分。</w:t>
      </w:r>
    </w:p>
    <w:p>
      <w:pPr>
        <w:spacing w:line="222" w:lineRule="auto"/>
        <w:ind w:left="712"/>
        <w:outlineLvl w:val="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13"/>
          <w:sz w:val="32"/>
          <w:szCs w:val="32"/>
        </w:rPr>
        <w:t>四、评价结论</w:t>
      </w:r>
    </w:p>
    <w:p>
      <w:pPr>
        <w:spacing w:before="238" w:line="360" w:lineRule="auto"/>
        <w:ind w:left="35" w:right="174" w:firstLine="651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我单位严格按照绩效自评工作要求，秉承客观公正、实事求是的原则开展了资金项目绩效评价报告自评工作，经对</w:t>
      </w:r>
      <w:r>
        <w:rPr>
          <w:rFonts w:ascii="FangSong" w:hAnsi="FangSong" w:eastAsia="FangSong" w:cs="FangSong"/>
          <w:spacing w:val="-5"/>
          <w:sz w:val="32"/>
          <w:szCs w:val="32"/>
        </w:rPr>
        <w:t>各类指标进行评分和汇总分析，2025</w:t>
      </w:r>
      <w:r>
        <w:rPr>
          <w:rFonts w:ascii="FangSong" w:hAnsi="FangSong" w:eastAsia="FangSong" w:cs="FangSong"/>
          <w:spacing w:val="-53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年该项目支出</w:t>
      </w:r>
      <w:r>
        <w:rPr>
          <w:rFonts w:ascii="FangSong" w:hAnsi="FangSong" w:eastAsia="FangSong" w:cs="FangSong"/>
          <w:spacing w:val="-6"/>
          <w:sz w:val="32"/>
          <w:szCs w:val="32"/>
        </w:rPr>
        <w:t>绩效评价</w:t>
      </w:r>
      <w:r>
        <w:rPr>
          <w:rFonts w:ascii="FangSong" w:hAnsi="FangSong" w:eastAsia="FangSong" w:cs="FangSong"/>
          <w:spacing w:val="-2"/>
          <w:sz w:val="32"/>
          <w:szCs w:val="32"/>
        </w:rPr>
        <w:t xml:space="preserve">综合得分 </w:t>
      </w:r>
      <w:r>
        <w:rPr>
          <w:rFonts w:ascii="FangSong" w:hAnsi="FangSong" w:eastAsia="FangSong" w:cs="FangSong"/>
          <w:color w:val="FF0000"/>
          <w:spacing w:val="-2"/>
          <w:sz w:val="32"/>
          <w:szCs w:val="32"/>
        </w:rPr>
        <w:t>96</w:t>
      </w:r>
      <w:r>
        <w:rPr>
          <w:rFonts w:ascii="FangSong" w:hAnsi="FangSong" w:eastAsia="FangSong" w:cs="FangSong"/>
          <w:color w:val="FF0000"/>
          <w:spacing w:val="-49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2"/>
          <w:sz w:val="32"/>
          <w:szCs w:val="32"/>
        </w:rPr>
        <w:t>分。评价结果显示项目按照相关规定进行使用</w:t>
      </w:r>
      <w:r>
        <w:rPr>
          <w:rFonts w:ascii="FangSong" w:hAnsi="FangSong" w:eastAsia="FangSong" w:cs="FangSong"/>
          <w:spacing w:val="-3"/>
          <w:sz w:val="32"/>
          <w:szCs w:val="32"/>
        </w:rPr>
        <w:t>和管理，程序较为规范，项目支出使用效益达到预期。</w:t>
      </w:r>
    </w:p>
    <w:p>
      <w:pPr>
        <w:spacing w:line="219" w:lineRule="auto"/>
        <w:ind w:left="680"/>
        <w:outlineLvl w:val="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6"/>
          <w:sz w:val="32"/>
          <w:szCs w:val="32"/>
        </w:rPr>
        <w:t>五、存在主要问题</w:t>
      </w:r>
    </w:p>
    <w:p>
      <w:pPr>
        <w:spacing w:before="244" w:line="221" w:lineRule="auto"/>
        <w:ind w:left="676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1"/>
          <w:sz w:val="32"/>
          <w:szCs w:val="32"/>
        </w:rPr>
        <w:t>项目管理相关制度待完善，项目管理制度不健全，不符</w:t>
      </w:r>
    </w:p>
    <w:p>
      <w:pPr>
        <w:spacing w:line="221" w:lineRule="auto"/>
        <w:rPr>
          <w:rFonts w:ascii="FangSong" w:hAnsi="FangSong" w:eastAsia="FangSong" w:cs="FangSong"/>
          <w:sz w:val="32"/>
          <w:szCs w:val="32"/>
        </w:rPr>
        <w:sectPr>
          <w:pgSz w:w="11906" w:h="16839"/>
          <w:pgMar w:top="1431" w:right="1625" w:bottom="0" w:left="1785" w:header="0" w:footer="0" w:gutter="0"/>
          <w:cols w:space="720" w:num="1"/>
        </w:sectPr>
      </w:pPr>
    </w:p>
    <w:p>
      <w:pPr>
        <w:spacing w:before="163" w:line="360" w:lineRule="auto"/>
        <w:ind w:left="36" w:right="14" w:firstLine="7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合县财政局内部控制相关的要求。项目未提供相关项目管理制度，如项目管理等相关内控管理制度，无法考量项目管理</w:t>
      </w:r>
      <w:r>
        <w:rPr>
          <w:rFonts w:ascii="FangSong" w:hAnsi="FangSong" w:eastAsia="FangSong" w:cs="FangSong"/>
          <w:spacing w:val="-3"/>
          <w:sz w:val="32"/>
          <w:szCs w:val="32"/>
        </w:rPr>
        <w:t>制度是否符合上位法和项目实际、项目管理是否符合制度。</w:t>
      </w:r>
    </w:p>
    <w:p>
      <w:pPr>
        <w:spacing w:line="223" w:lineRule="auto"/>
        <w:ind w:left="677"/>
        <w:outlineLvl w:val="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b/>
          <w:bCs/>
          <w:spacing w:val="-7"/>
          <w:sz w:val="32"/>
          <w:szCs w:val="32"/>
        </w:rPr>
        <w:t>六、改进建议</w:t>
      </w:r>
    </w:p>
    <w:p>
      <w:pPr>
        <w:spacing w:before="238" w:line="360" w:lineRule="auto"/>
        <w:ind w:left="52" w:right="14" w:firstLine="628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完善相关项目管理制度，建议项目单位按照县财政局对内部控制的要求，加强项目管理相关的内控制度建设，</w:t>
      </w:r>
      <w:r>
        <w:rPr>
          <w:rFonts w:ascii="FangSong" w:hAnsi="FangSong" w:eastAsia="FangSong" w:cs="FangSong"/>
          <w:spacing w:val="-3"/>
          <w:sz w:val="32"/>
          <w:szCs w:val="32"/>
        </w:rPr>
        <w:t>对项</w:t>
      </w:r>
      <w:r>
        <w:rPr>
          <w:rFonts w:ascii="FangSong" w:hAnsi="FangSong" w:eastAsia="FangSong" w:cs="FangSong"/>
          <w:spacing w:val="-2"/>
          <w:sz w:val="32"/>
          <w:szCs w:val="32"/>
        </w:rPr>
        <w:t>目管理配套的内部管理相关制度进行完善，进一步提高</w:t>
      </w:r>
      <w:r>
        <w:rPr>
          <w:rFonts w:ascii="FangSong" w:hAnsi="FangSong" w:eastAsia="FangSong" w:cs="FangSong"/>
          <w:spacing w:val="-3"/>
          <w:sz w:val="32"/>
          <w:szCs w:val="32"/>
        </w:rPr>
        <w:t>项目</w:t>
      </w:r>
      <w:r>
        <w:rPr>
          <w:rFonts w:ascii="FangSong" w:hAnsi="FangSong" w:eastAsia="FangSong" w:cs="FangSong"/>
          <w:spacing w:val="-4"/>
          <w:sz w:val="32"/>
          <w:szCs w:val="32"/>
        </w:rPr>
        <w:t>管理的内部控制，为项目实施和完成提供保障。</w:t>
      </w:r>
    </w:p>
    <w:p>
      <w:pPr>
        <w:pStyle w:val="2"/>
        <w:spacing w:line="269" w:lineRule="auto"/>
      </w:pPr>
    </w:p>
    <w:p>
      <w:pPr>
        <w:pStyle w:val="2"/>
        <w:spacing w:line="269" w:lineRule="auto"/>
      </w:pPr>
    </w:p>
    <w:p>
      <w:pPr>
        <w:pStyle w:val="2"/>
        <w:spacing w:line="269" w:lineRule="auto"/>
      </w:pPr>
    </w:p>
    <w:p>
      <w:pPr>
        <w:pStyle w:val="2"/>
        <w:spacing w:line="269" w:lineRule="auto"/>
      </w:pPr>
    </w:p>
    <w:p>
      <w:pPr>
        <w:spacing w:before="104" w:line="222" w:lineRule="auto"/>
        <w:ind w:left="688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3"/>
          <w:sz w:val="32"/>
          <w:szCs w:val="32"/>
        </w:rPr>
        <w:t>附表：1.专项预算绩效自评打分表</w:t>
      </w:r>
    </w:p>
    <w:p>
      <w:pPr>
        <w:spacing w:before="193" w:line="221" w:lineRule="auto"/>
        <w:ind w:left="1629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1"/>
          <w:sz w:val="32"/>
          <w:szCs w:val="32"/>
        </w:rPr>
        <w:t>2.专项预算绩效自评实地踏勘点位清单表</w:t>
      </w:r>
    </w:p>
    <w:p>
      <w:pPr>
        <w:spacing w:before="194" w:line="222" w:lineRule="auto"/>
        <w:ind w:left="163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1"/>
          <w:sz w:val="32"/>
          <w:szCs w:val="32"/>
        </w:rPr>
        <w:t>3.专项预算项目绩效目标完成情况自评表</w:t>
      </w: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8" w:lineRule="auto"/>
      </w:pPr>
    </w:p>
    <w:p>
      <w:pPr>
        <w:pStyle w:val="2"/>
        <w:spacing w:line="258" w:lineRule="auto"/>
      </w:pPr>
    </w:p>
    <w:p>
      <w:pPr>
        <w:pStyle w:val="2"/>
        <w:spacing w:line="258" w:lineRule="auto"/>
      </w:pPr>
    </w:p>
    <w:p>
      <w:pPr>
        <w:pStyle w:val="2"/>
        <w:spacing w:line="258" w:lineRule="auto"/>
      </w:pPr>
    </w:p>
    <w:p>
      <w:pPr>
        <w:pStyle w:val="2"/>
        <w:spacing w:line="258" w:lineRule="auto"/>
      </w:pPr>
    </w:p>
    <w:p>
      <w:pPr>
        <w:pStyle w:val="2"/>
        <w:spacing w:line="258" w:lineRule="auto"/>
      </w:pPr>
    </w:p>
    <w:p>
      <w:pPr>
        <w:spacing w:before="105" w:line="222" w:lineRule="auto"/>
        <w:ind w:right="11"/>
        <w:jc w:val="right"/>
        <w:rPr>
          <w:rFonts w:ascii="FangSong" w:hAnsi="FangSong" w:eastAsia="FangSong" w:cs="FangSong"/>
          <w:sz w:val="32"/>
          <w:szCs w:val="32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3162300</wp:posOffset>
            </wp:positionH>
            <wp:positionV relativeFrom="paragraph">
              <wp:posOffset>-482600</wp:posOffset>
            </wp:positionV>
            <wp:extent cx="1538605" cy="153860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38604" cy="1538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pacing w:val="-3"/>
          <w:sz w:val="32"/>
          <w:szCs w:val="32"/>
        </w:rPr>
        <w:t>黑水县党史研究和地方志编纂中心</w:t>
      </w:r>
    </w:p>
    <w:p>
      <w:pPr>
        <w:spacing w:before="157" w:line="222" w:lineRule="auto"/>
        <w:ind w:left="4029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10"/>
          <w:sz w:val="32"/>
          <w:szCs w:val="32"/>
        </w:rPr>
        <w:t>2026</w:t>
      </w:r>
      <w:r>
        <w:rPr>
          <w:rFonts w:ascii="FangSong" w:hAnsi="FangSong" w:eastAsia="FangSong" w:cs="FangSong"/>
          <w:spacing w:val="-46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0"/>
          <w:sz w:val="32"/>
          <w:szCs w:val="32"/>
        </w:rPr>
        <w:t>年</w:t>
      </w:r>
      <w:r>
        <w:rPr>
          <w:rFonts w:ascii="FangSong" w:hAnsi="FangSong" w:eastAsia="FangSong" w:cs="FangSong"/>
          <w:spacing w:val="-71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0"/>
          <w:sz w:val="32"/>
          <w:szCs w:val="32"/>
        </w:rPr>
        <w:t>4</w:t>
      </w:r>
      <w:r>
        <w:rPr>
          <w:rFonts w:ascii="FangSong" w:hAnsi="FangSong" w:eastAsia="FangSong" w:cs="FangSong"/>
          <w:spacing w:val="-43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0"/>
          <w:sz w:val="32"/>
          <w:szCs w:val="32"/>
        </w:rPr>
        <w:t>月</w:t>
      </w:r>
      <w:r>
        <w:rPr>
          <w:rFonts w:ascii="FangSong" w:hAnsi="FangSong" w:eastAsia="FangSong" w:cs="FangSong"/>
          <w:spacing w:val="-68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0"/>
          <w:sz w:val="32"/>
          <w:szCs w:val="32"/>
        </w:rPr>
        <w:t>9 日</w:t>
      </w:r>
    </w:p>
    <w:p>
      <w:pPr>
        <w:spacing w:line="222" w:lineRule="auto"/>
        <w:rPr>
          <w:rFonts w:ascii="FangSong" w:hAnsi="FangSong" w:eastAsia="FangSong" w:cs="FangSong"/>
          <w:sz w:val="32"/>
          <w:szCs w:val="32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spacing w:before="196" w:line="223" w:lineRule="auto"/>
        <w:ind w:left="1332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SimHei" w:hAnsi="SimHei" w:eastAsia="SimHei" w:cs="SimHei"/>
          <w:spacing w:val="-11"/>
          <w:sz w:val="32"/>
          <w:szCs w:val="32"/>
        </w:rPr>
        <w:t>附表</w:t>
      </w:r>
      <w:r>
        <w:rPr>
          <w:rFonts w:ascii="SimHei" w:hAnsi="SimHei" w:eastAsia="SimHei" w:cs="SimHei"/>
          <w:spacing w:val="-4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1</w:t>
      </w:r>
    </w:p>
    <w:p>
      <w:pPr>
        <w:spacing w:before="118" w:line="162" w:lineRule="auto"/>
        <w:ind w:left="3284"/>
        <w:outlineLvl w:val="0"/>
        <w:rPr>
          <w:rFonts w:ascii="微软雅黑" w:hAnsi="微软雅黑" w:eastAsia="微软雅黑" w:cs="微软雅黑"/>
          <w:sz w:val="40"/>
          <w:szCs w:val="40"/>
        </w:rPr>
      </w:pPr>
      <w:r>
        <w:rPr>
          <w:rFonts w:ascii="微软雅黑" w:hAnsi="微软雅黑" w:eastAsia="微软雅黑" w:cs="微软雅黑"/>
          <w:spacing w:val="-3"/>
          <w:sz w:val="40"/>
          <w:szCs w:val="40"/>
        </w:rPr>
        <w:t>专项预算绩效自评打分表</w:t>
      </w:r>
    </w:p>
    <w:tbl>
      <w:tblPr>
        <w:tblStyle w:val="5"/>
        <w:tblW w:w="1090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764"/>
        <w:gridCol w:w="824"/>
        <w:gridCol w:w="1354"/>
        <w:gridCol w:w="696"/>
        <w:gridCol w:w="5335"/>
        <w:gridCol w:w="731"/>
        <w:gridCol w:w="4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 w:hRule="atLeast"/>
        </w:trPr>
        <w:tc>
          <w:tcPr>
            <w:tcW w:w="4362" w:type="dxa"/>
            <w:gridSpan w:val="5"/>
            <w:vAlign w:val="top"/>
          </w:tcPr>
          <w:p>
            <w:pPr>
              <w:spacing w:before="1" w:line="180" w:lineRule="auto"/>
              <w:ind w:left="1465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2"/>
                <w:sz w:val="24"/>
                <w:szCs w:val="24"/>
              </w:rPr>
              <w:t>绩效评价指标</w:t>
            </w:r>
          </w:p>
        </w:tc>
        <w:tc>
          <w:tcPr>
            <w:tcW w:w="5335" w:type="dxa"/>
            <w:vMerge w:val="restart"/>
            <w:tcBorders>
              <w:bottom w:val="nil"/>
            </w:tcBorders>
            <w:vAlign w:val="top"/>
          </w:tcPr>
          <w:p>
            <w:pPr>
              <w:spacing w:before="245" w:line="222" w:lineRule="auto"/>
              <w:ind w:left="219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2"/>
                <w:sz w:val="24"/>
                <w:szCs w:val="24"/>
              </w:rPr>
              <w:t>指标解释</w:t>
            </w:r>
          </w:p>
        </w:tc>
        <w:tc>
          <w:tcPr>
            <w:tcW w:w="731" w:type="dxa"/>
            <w:vMerge w:val="restart"/>
            <w:tcBorders>
              <w:bottom w:val="nil"/>
            </w:tcBorders>
            <w:vAlign w:val="top"/>
          </w:tcPr>
          <w:p>
            <w:pPr>
              <w:spacing w:before="123" w:line="204" w:lineRule="auto"/>
              <w:ind w:left="135" w:right="115" w:firstLine="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20"/>
                <w:sz w:val="24"/>
                <w:szCs w:val="24"/>
              </w:rPr>
              <w:t>自评</w:t>
            </w:r>
            <w:r>
              <w:rPr>
                <w:rFonts w:ascii="SimHei" w:hAnsi="SimHei" w:eastAsia="SimHei" w:cs="SimHei"/>
                <w:spacing w:val="-6"/>
                <w:sz w:val="24"/>
                <w:szCs w:val="24"/>
              </w:rPr>
              <w:t>得分</w:t>
            </w:r>
          </w:p>
        </w:tc>
        <w:tc>
          <w:tcPr>
            <w:tcW w:w="473" w:type="dxa"/>
            <w:vMerge w:val="restart"/>
            <w:tcBorders>
              <w:bottom w:val="nil"/>
            </w:tcBorders>
            <w:vAlign w:val="top"/>
          </w:tcPr>
          <w:p>
            <w:pPr>
              <w:spacing w:before="125" w:line="203" w:lineRule="auto"/>
              <w:ind w:left="125" w:right="109" w:hanging="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0"/>
                <w:sz w:val="24"/>
                <w:szCs w:val="24"/>
              </w:rPr>
              <w:t>备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Align w:val="top"/>
          </w:tcPr>
          <w:p>
            <w:pPr>
              <w:spacing w:line="182" w:lineRule="auto"/>
              <w:ind w:left="128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7"/>
                <w:sz w:val="24"/>
                <w:szCs w:val="24"/>
              </w:rPr>
              <w:t>一级</w:t>
            </w:r>
          </w:p>
          <w:p>
            <w:pPr>
              <w:spacing w:line="178" w:lineRule="auto"/>
              <w:ind w:left="123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指标</w:t>
            </w:r>
          </w:p>
        </w:tc>
        <w:tc>
          <w:tcPr>
            <w:tcW w:w="1588" w:type="dxa"/>
            <w:gridSpan w:val="2"/>
            <w:vAlign w:val="top"/>
          </w:tcPr>
          <w:p>
            <w:pPr>
              <w:spacing w:before="114" w:line="221" w:lineRule="auto"/>
              <w:ind w:left="31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二级指标</w:t>
            </w:r>
          </w:p>
        </w:tc>
        <w:tc>
          <w:tcPr>
            <w:tcW w:w="1354" w:type="dxa"/>
            <w:vAlign w:val="top"/>
          </w:tcPr>
          <w:p>
            <w:pPr>
              <w:spacing w:before="114" w:line="221" w:lineRule="auto"/>
              <w:ind w:left="2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三级指标</w:t>
            </w:r>
          </w:p>
        </w:tc>
        <w:tc>
          <w:tcPr>
            <w:tcW w:w="696" w:type="dxa"/>
            <w:vAlign w:val="top"/>
          </w:tcPr>
          <w:p>
            <w:pPr>
              <w:spacing w:line="182" w:lineRule="auto"/>
              <w:ind w:left="110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指标</w:t>
            </w:r>
          </w:p>
          <w:p>
            <w:pPr>
              <w:spacing w:line="178" w:lineRule="auto"/>
              <w:ind w:left="11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4"/>
                <w:sz w:val="24"/>
                <w:szCs w:val="24"/>
              </w:rPr>
              <w:t>分值</w:t>
            </w:r>
          </w:p>
        </w:tc>
        <w:tc>
          <w:tcPr>
            <w:tcW w:w="533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restart"/>
            <w:tcBorders>
              <w:bottom w:val="nil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94" w:lineRule="auto"/>
              <w:ind w:left="118" w:right="119" w:firstLine="4"/>
              <w:jc w:val="both"/>
            </w:pPr>
            <w:r>
              <w:rPr>
                <w:b/>
                <w:bCs/>
                <w:spacing w:val="-7"/>
              </w:rPr>
              <w:t>通用</w:t>
            </w:r>
            <w:r>
              <w:rPr>
                <w:b/>
                <w:bCs/>
                <w:spacing w:val="-5"/>
              </w:rPr>
              <w:t>指标</w:t>
            </w:r>
            <w:r>
              <w:rPr>
                <w:b/>
                <w:bCs/>
                <w:spacing w:val="-8"/>
              </w:rPr>
              <w:t>（54</w:t>
            </w:r>
            <w:r>
              <w:rPr>
                <w:b/>
                <w:bCs/>
                <w:spacing w:val="-5"/>
              </w:rPr>
              <w:t>分）</w:t>
            </w: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3" w:lineRule="auto"/>
              <w:ind w:left="289" w:right="296" w:firstLine="27"/>
            </w:pPr>
            <w:r>
              <w:rPr>
                <w:b/>
                <w:bCs/>
                <w:spacing w:val="-6"/>
              </w:rPr>
              <w:t>项目决策</w:t>
            </w:r>
            <w:r>
              <w:rPr>
                <w:b/>
                <w:bCs/>
                <w:spacing w:val="-11"/>
              </w:rPr>
              <w:t>（18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1" w:line="176" w:lineRule="auto"/>
              <w:ind w:left="207"/>
            </w:pPr>
            <w:r>
              <w:rPr>
                <w:spacing w:val="-4"/>
              </w:rPr>
              <w:t>决策程序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" w:line="176" w:lineRule="auto"/>
              <w:ind w:left="293"/>
            </w:pPr>
            <w:r>
              <w:t>6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76" w:lineRule="auto"/>
              <w:ind w:left="115"/>
            </w:pPr>
            <w:r>
              <w:rPr>
                <w:spacing w:val="-2"/>
              </w:rPr>
              <w:t>项目决策程序是否严密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" w:line="176" w:lineRule="auto"/>
              <w:ind w:left="118"/>
            </w:pPr>
            <w:r>
              <w:t>6</w:t>
            </w: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116" w:line="222" w:lineRule="auto"/>
              <w:ind w:left="200"/>
            </w:pPr>
            <w:r>
              <w:rPr>
                <w:spacing w:val="-2"/>
              </w:rPr>
              <w:t>规划论证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16"/>
              <w:ind w:left="293"/>
            </w:pPr>
            <w:r>
              <w:t>6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80" w:lineRule="auto"/>
              <w:ind w:left="115" w:right="183"/>
            </w:pPr>
            <w:r>
              <w:rPr>
                <w:spacing w:val="-1"/>
              </w:rPr>
              <w:t>项目规划论证是否符合</w:t>
            </w:r>
            <w:r>
              <w:rPr>
                <w:spacing w:val="-1"/>
              </w:rPr>
              <w:t>中央、省委</w:t>
            </w:r>
            <w:r>
              <w:rPr>
                <w:spacing w:val="-1"/>
              </w:rPr>
              <w:t>要求，项目绩效目标</w:t>
            </w:r>
            <w:r>
              <w:rPr>
                <w:spacing w:val="-2"/>
              </w:rPr>
              <w:t>设置是否科学合理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16"/>
              <w:ind w:left="118"/>
            </w:pPr>
            <w:r>
              <w:t>6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237" w:line="221" w:lineRule="auto"/>
              <w:ind w:left="210"/>
            </w:pPr>
            <w:r>
              <w:rPr>
                <w:spacing w:val="-4"/>
              </w:rPr>
              <w:t>资金投向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237"/>
              <w:ind w:left="293"/>
            </w:pPr>
            <w:r>
              <w:t>6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3" w:line="181" w:lineRule="auto"/>
              <w:ind w:left="111" w:right="183" w:firstLine="3"/>
              <w:jc w:val="both"/>
            </w:pPr>
            <w:r>
              <w:rPr>
                <w:spacing w:val="-1"/>
              </w:rPr>
              <w:t>项目资金是否与项目总体规划、相关行业事业发展相匹配，是否聚焦重大任务、重点领域、重点</w:t>
            </w:r>
            <w:r>
              <w:rPr>
                <w:spacing w:val="-2"/>
              </w:rPr>
              <w:t>环节和重点项目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237"/>
              <w:ind w:left="118"/>
            </w:pPr>
            <w:r>
              <w:t>6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3" w:lineRule="auto"/>
              <w:ind w:left="289" w:right="296" w:firstLine="27"/>
            </w:pPr>
            <w:r>
              <w:rPr>
                <w:b/>
                <w:bCs/>
                <w:spacing w:val="-6"/>
              </w:rPr>
              <w:t>项目管理</w:t>
            </w:r>
            <w:r>
              <w:rPr>
                <w:b/>
                <w:bCs/>
                <w:spacing w:val="-11"/>
              </w:rPr>
              <w:t>（18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1" w:line="176" w:lineRule="auto"/>
              <w:ind w:left="200"/>
            </w:pPr>
            <w:r>
              <w:rPr>
                <w:spacing w:val="-2"/>
              </w:rPr>
              <w:t>制度办法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" w:line="176" w:lineRule="auto"/>
              <w:ind w:left="294"/>
            </w:pPr>
            <w:r>
              <w:t>2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76" w:lineRule="auto"/>
              <w:ind w:left="115"/>
            </w:pPr>
            <w:r>
              <w:rPr>
                <w:spacing w:val="-1"/>
              </w:rPr>
              <w:t>项目制度办法是否体系健全、要素完备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" w:line="176" w:lineRule="auto"/>
              <w:ind w:left="118"/>
            </w:pPr>
            <w:r>
              <w:t>0</w:t>
            </w: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118" w:line="220" w:lineRule="auto"/>
              <w:ind w:left="202"/>
            </w:pPr>
            <w:r>
              <w:rPr>
                <w:spacing w:val="-3"/>
              </w:rPr>
              <w:t>分配管理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18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line="183" w:lineRule="auto"/>
              <w:ind w:left="115"/>
            </w:pPr>
            <w:r>
              <w:rPr>
                <w:spacing w:val="-3"/>
              </w:rPr>
              <w:t>项目资金分配因素选取、权重设置、区域分布，</w:t>
            </w:r>
          </w:p>
          <w:p>
            <w:pPr>
              <w:pStyle w:val="6"/>
              <w:spacing w:line="177" w:lineRule="auto"/>
              <w:ind w:left="115"/>
            </w:pPr>
            <w:r>
              <w:rPr>
                <w:spacing w:val="-1"/>
              </w:rPr>
              <w:t>项目管理、审批是否符合管理要求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18"/>
              <w:ind w:left="134"/>
            </w:pPr>
            <w:r>
              <w:rPr>
                <w:spacing w:val="-7"/>
              </w:rPr>
              <w:t>10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119" w:line="220" w:lineRule="auto"/>
              <w:ind w:left="203"/>
            </w:pPr>
            <w:r>
              <w:rPr>
                <w:spacing w:val="-3"/>
              </w:rPr>
              <w:t>绩效监管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19"/>
              <w:ind w:left="293"/>
            </w:pPr>
            <w:r>
              <w:t>6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80" w:lineRule="auto"/>
              <w:ind w:left="115" w:right="183"/>
            </w:pPr>
            <w:r>
              <w:rPr>
                <w:spacing w:val="-1"/>
              </w:rPr>
              <w:t>管资金、项目、政策是否管绩效，项目绩效监管是否按要求开展，对下指导是否有力有效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19"/>
              <w:ind w:left="118"/>
            </w:pPr>
            <w:r>
              <w:t>6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24" w:line="203" w:lineRule="auto"/>
              <w:ind w:left="349" w:right="311" w:hanging="32"/>
            </w:pPr>
            <w:r>
              <w:rPr>
                <w:b/>
                <w:bCs/>
                <w:spacing w:val="-6"/>
              </w:rPr>
              <w:t>项目实施</w:t>
            </w:r>
            <w:r>
              <w:rPr>
                <w:b/>
                <w:bCs/>
                <w:spacing w:val="-10"/>
              </w:rPr>
              <w:t>（9</w:t>
            </w:r>
            <w:r>
              <w:rPr>
                <w:spacing w:val="-46"/>
              </w:rPr>
              <w:t xml:space="preserve"> </w:t>
            </w:r>
            <w:r>
              <w:rPr>
                <w:b/>
                <w:bCs/>
                <w:spacing w:val="-10"/>
              </w:rPr>
              <w:t>分）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120" w:line="220" w:lineRule="auto"/>
              <w:ind w:left="201"/>
            </w:pPr>
            <w:r>
              <w:rPr>
                <w:spacing w:val="-3"/>
              </w:rPr>
              <w:t>预算执行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0"/>
              <w:ind w:left="293"/>
            </w:pPr>
            <w:r>
              <w:t>6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80" w:lineRule="auto"/>
              <w:ind w:left="113" w:right="183" w:firstLine="1"/>
            </w:pPr>
            <w:r>
              <w:rPr>
                <w:spacing w:val="-1"/>
              </w:rPr>
              <w:t>项目资金财政拨付、单位执行和地方配套到位情</w:t>
            </w:r>
            <w:r>
              <w:t>况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20"/>
              <w:ind w:left="118"/>
            </w:pPr>
            <w:r>
              <w:t>6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1" w:line="176" w:lineRule="auto"/>
              <w:ind w:left="210"/>
            </w:pPr>
            <w:r>
              <w:rPr>
                <w:spacing w:val="-4"/>
              </w:rPr>
              <w:t>资金使用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" w:line="176" w:lineRule="auto"/>
              <w:ind w:left="296"/>
            </w:pPr>
            <w:r>
              <w:t>3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76" w:lineRule="auto"/>
              <w:ind w:left="121"/>
            </w:pPr>
            <w:r>
              <w:rPr>
                <w:spacing w:val="-2"/>
              </w:rPr>
              <w:t>资金使用拨付、项目实施是否符合规定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" w:line="176" w:lineRule="auto"/>
              <w:ind w:left="121"/>
            </w:pPr>
            <w:r>
              <w:t>3</w:t>
            </w: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25" w:line="203" w:lineRule="auto"/>
              <w:ind w:left="349" w:right="311" w:hanging="32"/>
            </w:pPr>
            <w:r>
              <w:rPr>
                <w:b/>
                <w:bCs/>
                <w:spacing w:val="-6"/>
              </w:rPr>
              <w:t>项目结果</w:t>
            </w:r>
            <w:r>
              <w:rPr>
                <w:b/>
                <w:bCs/>
                <w:spacing w:val="-10"/>
              </w:rPr>
              <w:t>（9</w:t>
            </w:r>
            <w:r>
              <w:rPr>
                <w:spacing w:val="-46"/>
              </w:rPr>
              <w:t xml:space="preserve"> </w:t>
            </w:r>
            <w:r>
              <w:rPr>
                <w:b/>
                <w:bCs/>
                <w:spacing w:val="-10"/>
              </w:rPr>
              <w:t>分）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121" w:line="220" w:lineRule="auto"/>
              <w:ind w:left="245"/>
            </w:pPr>
            <w:r>
              <w:rPr>
                <w:spacing w:val="-11"/>
              </w:rPr>
              <w:t>目标完成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1"/>
              <w:ind w:left="293"/>
            </w:pPr>
            <w:r>
              <w:t>6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80" w:lineRule="auto"/>
              <w:ind w:left="112" w:right="183" w:firstLine="2"/>
            </w:pPr>
            <w:r>
              <w:rPr>
                <w:spacing w:val="-1"/>
              </w:rPr>
              <w:t>项目是否完成预期目标，实施结果是否与绩效目标相匹配，反映目标实现程度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21"/>
              <w:ind w:left="118"/>
            </w:pPr>
            <w:r>
              <w:t>6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2" w:line="175" w:lineRule="auto"/>
              <w:ind w:left="201"/>
            </w:pPr>
            <w:r>
              <w:rPr>
                <w:spacing w:val="-3"/>
              </w:rPr>
              <w:t>完成时效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2" w:line="175" w:lineRule="auto"/>
              <w:ind w:left="296"/>
            </w:pPr>
            <w:r>
              <w:t>3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2" w:line="175" w:lineRule="auto"/>
              <w:ind w:left="115"/>
            </w:pPr>
            <w:r>
              <w:rPr>
                <w:spacing w:val="-1"/>
              </w:rPr>
              <w:t>项目实际完成时间与计划完成时间的比较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2" w:line="175" w:lineRule="auto"/>
              <w:ind w:left="121"/>
            </w:pPr>
            <w:r>
              <w:t>3</w:t>
            </w: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restart"/>
            <w:tcBorders>
              <w:bottom w:val="nil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94" w:lineRule="auto"/>
              <w:ind w:left="118" w:right="119" w:firstLine="5"/>
              <w:jc w:val="both"/>
            </w:pPr>
            <w:r>
              <w:rPr>
                <w:b/>
                <w:bCs/>
                <w:spacing w:val="-8"/>
              </w:rPr>
              <w:t>专用</w:t>
            </w:r>
            <w:r>
              <w:rPr>
                <w:b/>
                <w:bCs/>
                <w:spacing w:val="-5"/>
              </w:rPr>
              <w:t>指标</w:t>
            </w:r>
            <w:r>
              <w:rPr>
                <w:b/>
                <w:bCs/>
                <w:spacing w:val="-8"/>
              </w:rPr>
              <w:t>（30</w:t>
            </w:r>
            <w:r>
              <w:rPr>
                <w:b/>
                <w:bCs/>
                <w:spacing w:val="-5"/>
              </w:rPr>
              <w:t>分）</w:t>
            </w: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3" w:lineRule="auto"/>
              <w:ind w:left="289" w:right="296" w:firstLine="23"/>
            </w:pPr>
            <w:r>
              <w:rPr>
                <w:b/>
                <w:bCs/>
                <w:spacing w:val="-5"/>
              </w:rPr>
              <w:t>产业发展</w:t>
            </w:r>
            <w:r>
              <w:rPr>
                <w:b/>
                <w:bCs/>
                <w:spacing w:val="-11"/>
              </w:rPr>
              <w:t>（30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122" w:line="220" w:lineRule="auto"/>
              <w:ind w:left="321"/>
            </w:pPr>
            <w:r>
              <w:rPr>
                <w:spacing w:val="-3"/>
              </w:rPr>
              <w:t>符合性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2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80" w:lineRule="auto"/>
              <w:ind w:left="110" w:right="183" w:firstLine="4"/>
            </w:pPr>
            <w:r>
              <w:rPr>
                <w:spacing w:val="-1"/>
              </w:rPr>
              <w:t>项目实施是否与省委省政府支持重点、产业支持</w:t>
            </w:r>
            <w:r>
              <w:rPr>
                <w:spacing w:val="-2"/>
              </w:rPr>
              <w:t>政策符合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122" w:line="222" w:lineRule="auto"/>
              <w:ind w:left="321"/>
            </w:pPr>
            <w:r>
              <w:rPr>
                <w:spacing w:val="-3"/>
              </w:rPr>
              <w:t>成长性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3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3" w:line="179" w:lineRule="auto"/>
              <w:ind w:left="113" w:right="30" w:firstLine="1"/>
            </w:pPr>
            <w:r>
              <w:rPr>
                <w:spacing w:val="-5"/>
              </w:rPr>
              <w:t>项目实施对相关企业（机构）成长性的促进作用，</w:t>
            </w:r>
            <w:r>
              <w:rPr>
                <w:spacing w:val="-1"/>
              </w:rPr>
              <w:t>主要反映支持对象创新创造创业能力情况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124" w:line="221" w:lineRule="auto"/>
              <w:ind w:left="321"/>
            </w:pPr>
            <w:r>
              <w:rPr>
                <w:spacing w:val="-3"/>
              </w:rPr>
              <w:t>经济性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4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3" w:line="179" w:lineRule="auto"/>
              <w:ind w:left="112" w:right="183" w:firstLine="2"/>
            </w:pPr>
            <w:r>
              <w:rPr>
                <w:spacing w:val="-1"/>
              </w:rPr>
              <w:t>项目实施对相关企业（机构）主营业务收入、净利润、税收、产量等方面增长情况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3" w:lineRule="auto"/>
              <w:ind w:left="289" w:right="296" w:firstLine="47"/>
            </w:pPr>
            <w:r>
              <w:rPr>
                <w:b/>
                <w:bCs/>
                <w:spacing w:val="-11"/>
              </w:rPr>
              <w:t>民生保障（30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4" w:line="179" w:lineRule="auto"/>
              <w:ind w:left="559" w:right="193" w:hanging="342"/>
            </w:pPr>
            <w:r>
              <w:rPr>
                <w:spacing w:val="-7"/>
              </w:rPr>
              <w:t>区域均衡</w:t>
            </w:r>
            <w:r>
              <w:t>性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5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25" w:line="221" w:lineRule="auto"/>
              <w:ind w:left="115"/>
            </w:pPr>
            <w:r>
              <w:rPr>
                <w:spacing w:val="-1"/>
              </w:rPr>
              <w:t>项目资金分配体现的均衡公平情况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4" w:line="179" w:lineRule="auto"/>
              <w:ind w:left="558" w:right="193" w:hanging="360"/>
            </w:pPr>
            <w:r>
              <w:rPr>
                <w:spacing w:val="-3"/>
              </w:rPr>
              <w:t>对象精准</w:t>
            </w:r>
            <w:r>
              <w:t>性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5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4" w:line="179" w:lineRule="auto"/>
              <w:ind w:left="112" w:right="183" w:firstLine="9"/>
            </w:pPr>
            <w:r>
              <w:rPr>
                <w:spacing w:val="-1"/>
              </w:rPr>
              <w:t>资金实际支持对象是否符合管理要求，是否符合</w:t>
            </w:r>
            <w:r>
              <w:rPr>
                <w:spacing w:val="-2"/>
              </w:rPr>
              <w:t>支持对象范围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4" w:line="179" w:lineRule="auto"/>
              <w:ind w:left="559" w:right="193" w:hanging="359"/>
            </w:pPr>
            <w:r>
              <w:rPr>
                <w:spacing w:val="-3"/>
              </w:rPr>
              <w:t>标准合理</w:t>
            </w:r>
            <w:r>
              <w:t>性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5"/>
              <w:ind w:left="296"/>
            </w:pPr>
            <w:r>
              <w:t>5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4" w:line="179" w:lineRule="auto"/>
              <w:ind w:left="111" w:right="183" w:firstLine="10"/>
            </w:pPr>
            <w:r>
              <w:rPr>
                <w:spacing w:val="-1"/>
              </w:rPr>
              <w:t>资金实际补贴标准是否符合资金管理办法规定的补助标准，是否及时按标准兑现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4" w:line="179" w:lineRule="auto"/>
              <w:ind w:left="558" w:right="193" w:hanging="359"/>
            </w:pPr>
            <w:r>
              <w:rPr>
                <w:spacing w:val="-3"/>
              </w:rPr>
              <w:t>群众满意</w:t>
            </w:r>
            <w:r>
              <w:t>度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5"/>
              <w:ind w:left="296"/>
            </w:pPr>
            <w:r>
              <w:t>5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4" w:line="179" w:lineRule="auto"/>
              <w:ind w:left="109" w:right="183" w:firstLine="12"/>
            </w:pPr>
            <w:r>
              <w:rPr>
                <w:spacing w:val="-1"/>
              </w:rPr>
              <w:t>资金涉及相关受益群体、支持对象的满意度调查</w:t>
            </w:r>
            <w:r>
              <w:rPr>
                <w:spacing w:val="-2"/>
              </w:rPr>
              <w:t>访谈情况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45" w:line="185" w:lineRule="auto"/>
              <w:ind w:left="141"/>
            </w:pPr>
            <w:r>
              <w:rPr>
                <w:b/>
                <w:bCs/>
                <w:spacing w:val="-7"/>
              </w:rPr>
              <w:t>基础</w:t>
            </w:r>
          </w:p>
          <w:p>
            <w:pPr>
              <w:pStyle w:val="6"/>
              <w:spacing w:before="2" w:line="196" w:lineRule="auto"/>
              <w:ind w:left="117" w:right="140" w:firstLine="27"/>
              <w:jc w:val="both"/>
            </w:pPr>
            <w:r>
              <w:rPr>
                <w:b/>
                <w:bCs/>
                <w:spacing w:val="-9"/>
              </w:rPr>
              <w:t>设施</w:t>
            </w:r>
            <w:r>
              <w:rPr>
                <w:b/>
                <w:bCs/>
                <w:spacing w:val="-8"/>
              </w:rPr>
              <w:t>（30</w:t>
            </w:r>
            <w:r>
              <w:rPr>
                <w:b/>
                <w:bCs/>
                <w:spacing w:val="4"/>
              </w:rPr>
              <w:t>分）</w:t>
            </w:r>
          </w:p>
        </w:tc>
        <w:tc>
          <w:tcPr>
            <w:tcW w:w="82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0" w:line="185" w:lineRule="auto"/>
              <w:ind w:left="171"/>
            </w:pPr>
            <w:r>
              <w:rPr>
                <w:b/>
                <w:bCs/>
                <w:spacing w:val="-7"/>
              </w:rPr>
              <w:t>在建</w:t>
            </w:r>
          </w:p>
          <w:p>
            <w:pPr>
              <w:pStyle w:val="6"/>
              <w:spacing w:line="176" w:lineRule="auto"/>
              <w:ind w:left="176"/>
            </w:pPr>
            <w:r>
              <w:rPr>
                <w:b/>
                <w:bCs/>
                <w:spacing w:val="-9"/>
              </w:rPr>
              <w:t>项目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5" w:line="173" w:lineRule="auto"/>
              <w:ind w:left="202"/>
            </w:pPr>
            <w:r>
              <w:rPr>
                <w:spacing w:val="-3"/>
              </w:rPr>
              <w:t>工程进度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5" w:line="173" w:lineRule="auto"/>
              <w:ind w:left="249"/>
            </w:pPr>
            <w:r>
              <w:rPr>
                <w:spacing w:val="-7"/>
              </w:rPr>
              <w:t>15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5" w:line="173" w:lineRule="auto"/>
              <w:ind w:left="115"/>
            </w:pPr>
            <w:r>
              <w:rPr>
                <w:spacing w:val="-2"/>
              </w:rPr>
              <w:t>项目是否达到计划工程进度</w:t>
            </w:r>
          </w:p>
        </w:tc>
        <w:tc>
          <w:tcPr>
            <w:tcW w:w="731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5" w:line="173" w:lineRule="auto"/>
              <w:ind w:left="210"/>
            </w:pPr>
            <w:r>
              <w:rPr>
                <w:spacing w:val="-4"/>
              </w:rPr>
              <w:t>资金拨付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5" w:line="173" w:lineRule="auto"/>
              <w:ind w:left="249"/>
            </w:pPr>
            <w:r>
              <w:rPr>
                <w:spacing w:val="-7"/>
              </w:rPr>
              <w:t>15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5" w:line="173" w:lineRule="auto"/>
              <w:ind w:left="115"/>
            </w:pPr>
            <w:r>
              <w:rPr>
                <w:spacing w:val="-1"/>
              </w:rPr>
              <w:t>项目是否达到预先确定的资金拨付进度</w:t>
            </w:r>
          </w:p>
        </w:tc>
        <w:tc>
          <w:tcPr>
            <w:tcW w:w="731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34" w:line="203" w:lineRule="auto"/>
              <w:ind w:left="175" w:right="169"/>
            </w:pPr>
            <w:r>
              <w:rPr>
                <w:b/>
                <w:bCs/>
                <w:spacing w:val="-9"/>
              </w:rPr>
              <w:t>建成项目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5" w:line="173" w:lineRule="auto"/>
              <w:ind w:left="203"/>
            </w:pPr>
            <w:r>
              <w:rPr>
                <w:spacing w:val="-3"/>
              </w:rPr>
              <w:t>项目验收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5" w:line="173" w:lineRule="auto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5" w:line="173" w:lineRule="auto"/>
              <w:ind w:left="115"/>
            </w:pPr>
            <w:r>
              <w:rPr>
                <w:spacing w:val="-2"/>
              </w:rPr>
              <w:t>项目验收是否及时合格</w:t>
            </w:r>
          </w:p>
        </w:tc>
        <w:tc>
          <w:tcPr>
            <w:tcW w:w="731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5" w:line="173" w:lineRule="auto"/>
              <w:ind w:left="203"/>
            </w:pPr>
            <w:r>
              <w:rPr>
                <w:spacing w:val="-3"/>
              </w:rPr>
              <w:t>功能实现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5" w:line="173" w:lineRule="auto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5" w:line="173" w:lineRule="auto"/>
              <w:ind w:left="115"/>
            </w:pPr>
            <w:r>
              <w:rPr>
                <w:spacing w:val="-2"/>
              </w:rPr>
              <w:t>项目经济社会功能是否实现</w:t>
            </w:r>
          </w:p>
        </w:tc>
        <w:tc>
          <w:tcPr>
            <w:tcW w:w="731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5" w:line="173" w:lineRule="auto"/>
              <w:ind w:left="201"/>
            </w:pPr>
            <w:r>
              <w:rPr>
                <w:spacing w:val="-3"/>
              </w:rPr>
              <w:t>后续管护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5" w:line="173" w:lineRule="auto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5" w:line="173" w:lineRule="auto"/>
              <w:ind w:left="115"/>
            </w:pPr>
            <w:r>
              <w:rPr>
                <w:spacing w:val="-2"/>
              </w:rPr>
              <w:t>项目后续维护是否实现</w:t>
            </w:r>
          </w:p>
        </w:tc>
        <w:tc>
          <w:tcPr>
            <w:tcW w:w="731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2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3" w:line="194" w:lineRule="auto"/>
              <w:ind w:left="118" w:right="119" w:firstLine="5"/>
              <w:jc w:val="both"/>
            </w:pPr>
            <w:r>
              <w:rPr>
                <w:b/>
                <w:bCs/>
                <w:spacing w:val="-8"/>
              </w:rPr>
              <w:t>专用</w:t>
            </w:r>
            <w:r>
              <w:rPr>
                <w:b/>
                <w:bCs/>
                <w:spacing w:val="-5"/>
              </w:rPr>
              <w:t>指标</w:t>
            </w:r>
            <w:r>
              <w:rPr>
                <w:b/>
                <w:bCs/>
                <w:spacing w:val="-8"/>
              </w:rPr>
              <w:t>（30</w:t>
            </w:r>
            <w:r>
              <w:rPr>
                <w:b/>
                <w:bCs/>
                <w:spacing w:val="-5"/>
              </w:rPr>
              <w:t>分）</w:t>
            </w: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41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9" w:line="203" w:lineRule="auto"/>
              <w:ind w:left="289" w:right="296" w:firstLine="27"/>
            </w:pPr>
            <w:r>
              <w:rPr>
                <w:b/>
                <w:bCs/>
                <w:spacing w:val="-6"/>
              </w:rPr>
              <w:t>行政运转</w:t>
            </w:r>
            <w:r>
              <w:rPr>
                <w:b/>
                <w:bCs/>
                <w:spacing w:val="-11"/>
              </w:rPr>
              <w:t>（30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4" w:line="179" w:lineRule="auto"/>
              <w:ind w:left="559" w:right="193" w:hanging="358"/>
            </w:pPr>
            <w:r>
              <w:rPr>
                <w:spacing w:val="-3"/>
              </w:rPr>
              <w:t>用途合规</w:t>
            </w:r>
            <w:r>
              <w:t>性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5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4" w:line="179" w:lineRule="auto"/>
              <w:ind w:left="114" w:right="183"/>
            </w:pPr>
            <w:r>
              <w:rPr>
                <w:spacing w:val="-1"/>
              </w:rPr>
              <w:t>是否按规定用途、适用范围进行本地区专项资金</w:t>
            </w:r>
            <w:r>
              <w:rPr>
                <w:spacing w:val="-4"/>
              </w:rPr>
              <w:t>分配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25"/>
              <w:ind w:left="134"/>
            </w:pPr>
            <w:r>
              <w:rPr>
                <w:spacing w:val="-7"/>
              </w:rPr>
              <w:t>10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4" w:line="179" w:lineRule="auto"/>
              <w:ind w:left="558" w:right="193" w:hanging="360"/>
            </w:pPr>
            <w:r>
              <w:rPr>
                <w:spacing w:val="-3"/>
              </w:rPr>
              <w:t>程序合规</w:t>
            </w:r>
            <w:r>
              <w:t>性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5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25" w:line="220" w:lineRule="auto"/>
              <w:ind w:left="121"/>
            </w:pPr>
            <w:r>
              <w:rPr>
                <w:spacing w:val="-2"/>
              </w:rPr>
              <w:t>资金管理程序是否符合专项资金管理要求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25"/>
              <w:ind w:left="134"/>
            </w:pPr>
            <w:r>
              <w:rPr>
                <w:spacing w:val="-7"/>
              </w:rPr>
              <w:t>10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4" w:line="179" w:lineRule="auto"/>
              <w:ind w:left="559" w:right="193" w:hanging="359"/>
            </w:pPr>
            <w:r>
              <w:rPr>
                <w:spacing w:val="-3"/>
              </w:rPr>
              <w:t>标准合规</w:t>
            </w:r>
            <w:r>
              <w:t>性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5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25" w:line="220" w:lineRule="auto"/>
              <w:ind w:left="121"/>
            </w:pPr>
            <w:r>
              <w:rPr>
                <w:spacing w:val="-2"/>
              </w:rPr>
              <w:t>资金分配标准是否符合专项资金管理要求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25"/>
              <w:ind w:left="134"/>
            </w:pPr>
            <w:r>
              <w:rPr>
                <w:spacing w:val="-7"/>
              </w:rPr>
              <w:t>10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12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3" w:lineRule="auto"/>
              <w:ind w:left="653" w:right="656" w:firstLine="23"/>
            </w:pPr>
            <w:r>
              <w:rPr>
                <w:b/>
                <w:bCs/>
                <w:spacing w:val="-5"/>
              </w:rPr>
              <w:t>个性指标</w:t>
            </w:r>
            <w:r>
              <w:rPr>
                <w:b/>
                <w:bCs/>
                <w:spacing w:val="-11"/>
              </w:rPr>
              <w:t>（16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4" w:line="179" w:lineRule="auto"/>
              <w:ind w:left="326" w:right="193" w:hanging="90"/>
            </w:pPr>
            <w:r>
              <w:rPr>
                <w:spacing w:val="-12"/>
              </w:rPr>
              <w:t>口述历史</w:t>
            </w:r>
            <w:r>
              <w:rPr>
                <w:spacing w:val="-4"/>
              </w:rPr>
              <w:t>纪录片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5"/>
              <w:ind w:left="292"/>
            </w:pPr>
            <w:r>
              <w:t>8</w:t>
            </w:r>
          </w:p>
        </w:tc>
        <w:tc>
          <w:tcPr>
            <w:tcW w:w="5335" w:type="dxa"/>
            <w:vMerge w:val="restart"/>
            <w:tcBorders>
              <w:bottom w:val="nil"/>
            </w:tcBorders>
            <w:vAlign w:val="top"/>
          </w:tcPr>
          <w:p>
            <w:pPr>
              <w:spacing w:line="43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2" w:lineRule="auto"/>
              <w:ind w:left="111" w:right="183"/>
            </w:pPr>
            <w:r>
              <w:rPr>
                <w:spacing w:val="-1"/>
              </w:rPr>
              <w:t>根据项目个性自行设定部分指标，反映该项指标</w:t>
            </w:r>
            <w:r>
              <w:rPr>
                <w:spacing w:val="-6"/>
              </w:rPr>
              <w:t>执行完成情况。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25"/>
              <w:ind w:left="122"/>
            </w:pPr>
            <w:r>
              <w:t>7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1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4" w:line="179" w:lineRule="auto"/>
              <w:ind w:left="331" w:right="193" w:hanging="130"/>
            </w:pPr>
            <w:r>
              <w:rPr>
                <w:spacing w:val="-3"/>
              </w:rPr>
              <w:t>可持续影</w:t>
            </w:r>
            <w:r>
              <w:rPr>
                <w:spacing w:val="-5"/>
              </w:rPr>
              <w:t>响指标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5"/>
              <w:ind w:left="292"/>
            </w:pPr>
            <w:r>
              <w:t>8</w:t>
            </w:r>
          </w:p>
        </w:tc>
        <w:tc>
          <w:tcPr>
            <w:tcW w:w="533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>
            <w:pPr>
              <w:pStyle w:val="6"/>
              <w:spacing w:before="111"/>
              <w:ind w:left="122"/>
            </w:pPr>
            <w:r>
              <w:t>7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2312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29" w:line="185" w:lineRule="auto"/>
              <w:ind w:left="110"/>
            </w:pPr>
            <w:r>
              <w:rPr>
                <w:spacing w:val="-2"/>
              </w:rPr>
              <w:t>被评价部</w:t>
            </w:r>
          </w:p>
          <w:p>
            <w:pPr>
              <w:pStyle w:val="6"/>
              <w:spacing w:line="194" w:lineRule="auto"/>
              <w:ind w:left="137"/>
            </w:pPr>
            <w:r>
              <w:rPr>
                <w:spacing w:val="-7"/>
              </w:rPr>
              <w:t>门配合度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49" w:line="372" w:lineRule="exact"/>
              <w:ind w:left="126"/>
            </w:pPr>
            <w:r>
              <w:rPr>
                <w:spacing w:val="-7"/>
                <w:position w:val="3"/>
              </w:rPr>
              <w:t>……</w:t>
            </w:r>
          </w:p>
        </w:tc>
        <w:tc>
          <w:tcPr>
            <w:tcW w:w="533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1906" w:h="16839"/>
          <w:pgMar w:top="1431" w:right="497" w:bottom="0" w:left="497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5"/>
        <w:tblW w:w="1090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3"/>
        <w:gridCol w:w="1354"/>
        <w:gridCol w:w="695"/>
        <w:gridCol w:w="5335"/>
        <w:gridCol w:w="731"/>
        <w:gridCol w:w="4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13" w:type="dxa"/>
            <w:vAlign w:val="top"/>
          </w:tcPr>
          <w:p>
            <w:pPr>
              <w:pStyle w:val="6"/>
              <w:spacing w:before="2" w:line="180" w:lineRule="auto"/>
              <w:ind w:left="118" w:right="1191" w:hanging="2"/>
            </w:pPr>
            <w:r>
              <w:rPr>
                <w:b/>
                <w:bCs/>
                <w:spacing w:val="-7"/>
              </w:rPr>
              <w:t>扣分项</w:t>
            </w:r>
            <w:r>
              <w:t xml:space="preserve"> </w:t>
            </w:r>
            <w:r>
              <w:rPr>
                <w:b/>
                <w:bCs/>
                <w:spacing w:val="-11"/>
              </w:rPr>
              <w:t>（10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3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5" w:type="dxa"/>
            <w:vAlign w:val="top"/>
          </w:tcPr>
          <w:p>
            <w:pPr>
              <w:pStyle w:val="6"/>
              <w:spacing w:before="234" w:line="161" w:lineRule="exact"/>
              <w:ind w:left="228"/>
            </w:pPr>
            <w:r>
              <w:rPr>
                <w:position w:val="-11"/>
              </w:rPr>
              <w:t>—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19" w:line="219" w:lineRule="auto"/>
              <w:ind w:left="111"/>
            </w:pPr>
            <w:r>
              <w:rPr>
                <w:spacing w:val="-1"/>
              </w:rPr>
              <w:t>被评价对象工作配合情况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1906" w:h="16839"/>
          <w:pgMar w:top="1431" w:right="497" w:bottom="0" w:left="497" w:header="0" w:footer="0" w:gutter="0"/>
          <w:cols w:space="720" w:num="1"/>
        </w:sectPr>
      </w:pPr>
    </w:p>
    <w:p>
      <w:pPr>
        <w:spacing w:before="196" w:line="223" w:lineRule="auto"/>
        <w:ind w:left="44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SimHei" w:hAnsi="SimHei" w:eastAsia="SimHei" w:cs="SimHei"/>
          <w:spacing w:val="-11"/>
          <w:sz w:val="32"/>
          <w:szCs w:val="32"/>
        </w:rPr>
        <w:t>附表</w:t>
      </w:r>
      <w:r>
        <w:rPr>
          <w:rFonts w:ascii="SimHei" w:hAnsi="SimHei" w:eastAsia="SimHei" w:cs="SimHei"/>
          <w:spacing w:val="-7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2</w:t>
      </w:r>
    </w:p>
    <w:p>
      <w:pPr>
        <w:spacing w:before="118" w:line="176" w:lineRule="auto"/>
        <w:ind w:left="796"/>
        <w:outlineLvl w:val="1"/>
        <w:rPr>
          <w:rFonts w:ascii="微软雅黑" w:hAnsi="微软雅黑" w:eastAsia="微软雅黑" w:cs="微软雅黑"/>
          <w:sz w:val="40"/>
          <w:szCs w:val="40"/>
        </w:rPr>
      </w:pPr>
      <w:r>
        <w:rPr>
          <w:rFonts w:ascii="微软雅黑" w:hAnsi="微软雅黑" w:eastAsia="微软雅黑" w:cs="微软雅黑"/>
          <w:spacing w:val="-2"/>
          <w:sz w:val="40"/>
          <w:szCs w:val="40"/>
        </w:rPr>
        <w:t>专项预算绩效自评实地踏勘点位清单表</w:t>
      </w:r>
    </w:p>
    <w:p>
      <w:pPr>
        <w:spacing w:before="39" w:line="211" w:lineRule="auto"/>
        <w:ind w:left="3636"/>
        <w:outlineLvl w:val="0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pacing w:val="-11"/>
          <w:sz w:val="28"/>
          <w:szCs w:val="28"/>
        </w:rPr>
        <w:t>（例表）</w:t>
      </w:r>
    </w:p>
    <w:tbl>
      <w:tblPr>
        <w:tblStyle w:val="5"/>
        <w:tblW w:w="7984" w:type="dxa"/>
        <w:tblInd w:w="1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7"/>
        <w:gridCol w:w="5948"/>
        <w:gridCol w:w="90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127" w:type="dxa"/>
            <w:vAlign w:val="top"/>
          </w:tcPr>
          <w:p>
            <w:pPr>
              <w:spacing w:before="32" w:line="180" w:lineRule="auto"/>
              <w:ind w:left="325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序号</w:t>
            </w:r>
          </w:p>
        </w:tc>
        <w:tc>
          <w:tcPr>
            <w:tcW w:w="5948" w:type="dxa"/>
            <w:vAlign w:val="top"/>
          </w:tcPr>
          <w:p>
            <w:pPr>
              <w:spacing w:before="32" w:line="180" w:lineRule="auto"/>
              <w:ind w:left="226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实地踏勘点位</w:t>
            </w:r>
          </w:p>
        </w:tc>
        <w:tc>
          <w:tcPr>
            <w:tcW w:w="909" w:type="dxa"/>
            <w:vAlign w:val="top"/>
          </w:tcPr>
          <w:p>
            <w:pPr>
              <w:spacing w:before="32" w:line="180" w:lineRule="auto"/>
              <w:ind w:left="220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73" w:line="164" w:lineRule="auto"/>
              <w:ind w:left="5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5948" w:type="dxa"/>
            <w:vAlign w:val="top"/>
          </w:tcPr>
          <w:p>
            <w:pPr>
              <w:pStyle w:val="6"/>
              <w:spacing w:before="29" w:line="179" w:lineRule="auto"/>
              <w:ind w:left="2264"/>
            </w:pPr>
            <w:r>
              <w:rPr>
                <w:spacing w:val="-3"/>
              </w:rPr>
              <w:t>黑水县史志办</w:t>
            </w: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74" w:line="164" w:lineRule="auto"/>
              <w:ind w:left="50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74" w:line="163" w:lineRule="auto"/>
              <w:ind w:left="5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75" w:line="163" w:lineRule="auto"/>
              <w:ind w:left="5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79" w:line="160" w:lineRule="auto"/>
              <w:ind w:left="50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75" w:line="162" w:lineRule="auto"/>
              <w:ind w:left="5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80" w:line="159" w:lineRule="auto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76" w:line="162" w:lineRule="auto"/>
              <w:ind w:left="51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76" w:line="161" w:lineRule="auto"/>
              <w:ind w:left="5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78" w:line="160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10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79" w:line="160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11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79" w:line="159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12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80" w:line="158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13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81" w:line="158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14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81" w:line="158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15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80" w:line="158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16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81" w:line="158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17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81" w:line="157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18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82" w:line="157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19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127" w:type="dxa"/>
            <w:vAlign w:val="top"/>
          </w:tcPr>
          <w:p>
            <w:pPr>
              <w:spacing w:before="83" w:line="160" w:lineRule="auto"/>
              <w:ind w:left="4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20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39" w:line="220" w:lineRule="auto"/>
        <w:jc w:val="right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8"/>
          <w:sz w:val="21"/>
          <w:szCs w:val="21"/>
        </w:rPr>
        <w:t>备注：项目实地踏勘点位包括市（州）本级、县（市、区） 本级及有关</w:t>
      </w:r>
      <w:r>
        <w:rPr>
          <w:rFonts w:ascii="宋体" w:hAnsi="宋体" w:eastAsia="宋体" w:cs="宋体"/>
          <w:spacing w:val="-9"/>
          <w:sz w:val="21"/>
          <w:szCs w:val="21"/>
        </w:rPr>
        <w:t>项目、单位、公司等。</w:t>
      </w:r>
    </w:p>
    <w:p>
      <w:pPr>
        <w:spacing w:line="220" w:lineRule="auto"/>
        <w:rPr>
          <w:rFonts w:ascii="宋体" w:hAnsi="宋体" w:eastAsia="宋体" w:cs="宋体"/>
          <w:sz w:val="21"/>
          <w:szCs w:val="21"/>
        </w:rPr>
        <w:sectPr>
          <w:pgSz w:w="11906" w:h="16839"/>
          <w:pgMar w:top="1431" w:right="1724" w:bottom="0" w:left="1785" w:header="0" w:footer="0" w:gutter="0"/>
          <w:cols w:space="720" w:num="1"/>
        </w:sectPr>
      </w:pPr>
    </w:p>
    <w:p>
      <w:pPr>
        <w:spacing w:before="197" w:line="222" w:lineRule="auto"/>
        <w:ind w:left="1732" w:right="1721" w:hanging="734"/>
        <w:rPr>
          <w:rFonts w:ascii="微软雅黑" w:hAnsi="微软雅黑" w:eastAsia="微软雅黑" w:cs="微软雅黑"/>
          <w:sz w:val="40"/>
          <w:szCs w:val="40"/>
        </w:rPr>
      </w:pPr>
      <w:r>
        <w:rPr>
          <w:rFonts w:ascii="SimHei" w:hAnsi="SimHei" w:eastAsia="SimHei" w:cs="SimHei"/>
          <w:spacing w:val="-16"/>
          <w:sz w:val="32"/>
          <w:szCs w:val="32"/>
        </w:rPr>
        <w:t>附表</w:t>
      </w:r>
      <w:r>
        <w:rPr>
          <w:rFonts w:ascii="SimHei" w:hAnsi="SimHei" w:eastAsia="SimHei" w:cs="SimHei"/>
          <w:spacing w:val="-64"/>
          <w:sz w:val="32"/>
          <w:szCs w:val="32"/>
        </w:rPr>
        <w:t xml:space="preserve"> </w:t>
      </w:r>
      <w:r>
        <w:rPr>
          <w:rFonts w:ascii="Calibri" w:hAnsi="Calibri" w:eastAsia="Calibri" w:cs="Calibri"/>
          <w:spacing w:val="-16"/>
          <w:sz w:val="32"/>
          <w:szCs w:val="32"/>
        </w:rPr>
        <w:t>3</w:t>
      </w:r>
      <w:r>
        <w:rPr>
          <w:rFonts w:ascii="Calibri" w:hAnsi="Calibri" w:eastAsia="Calibri" w:cs="Calibri"/>
          <w:sz w:val="32"/>
          <w:szCs w:val="32"/>
        </w:rPr>
        <w:t xml:space="preserve">                                                                                       </w:t>
      </w:r>
      <w:r>
        <w:rPr>
          <w:rFonts w:ascii="微软雅黑" w:hAnsi="微软雅黑" w:eastAsia="微软雅黑" w:cs="微软雅黑"/>
          <w:spacing w:val="-1"/>
          <w:sz w:val="40"/>
          <w:szCs w:val="40"/>
        </w:rPr>
        <w:t>专项预算项目绩效目标完成情况自评表</w:t>
      </w:r>
    </w:p>
    <w:tbl>
      <w:tblPr>
        <w:tblStyle w:val="5"/>
        <w:tblW w:w="1023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6"/>
        <w:gridCol w:w="1080"/>
        <w:gridCol w:w="1249"/>
        <w:gridCol w:w="1310"/>
        <w:gridCol w:w="1126"/>
        <w:gridCol w:w="970"/>
        <w:gridCol w:w="1060"/>
        <w:gridCol w:w="937"/>
        <w:gridCol w:w="18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4295" w:type="dxa"/>
            <w:gridSpan w:val="4"/>
            <w:vAlign w:val="top"/>
          </w:tcPr>
          <w:p>
            <w:pPr>
              <w:pStyle w:val="6"/>
              <w:spacing w:before="44" w:line="215" w:lineRule="auto"/>
              <w:ind w:left="23"/>
            </w:pPr>
            <w:r>
              <w:rPr>
                <w:spacing w:val="-3"/>
              </w:rPr>
              <w:t>项目名称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pStyle w:val="6"/>
              <w:spacing w:before="48" w:line="212" w:lineRule="auto"/>
              <w:ind w:left="21"/>
            </w:pPr>
            <w:r>
              <w:rPr>
                <w:rFonts w:ascii="Times New Roman" w:hAnsi="Times New Roman" w:eastAsia="Times New Roman" w:cs="Times New Roman"/>
                <w:spacing w:val="-1"/>
              </w:rPr>
              <w:t>51322823T000007763292-</w:t>
            </w:r>
            <w:r>
              <w:rPr>
                <w:spacing w:val="-1"/>
              </w:rPr>
              <w:t>拍摄制作《口诉历史纪录片》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4295" w:type="dxa"/>
            <w:gridSpan w:val="4"/>
            <w:vAlign w:val="top"/>
          </w:tcPr>
          <w:p>
            <w:pPr>
              <w:pStyle w:val="6"/>
              <w:spacing w:before="120" w:line="220" w:lineRule="auto"/>
              <w:ind w:left="21"/>
            </w:pPr>
            <w:r>
              <w:rPr>
                <w:spacing w:val="-3"/>
              </w:rPr>
              <w:t>预算单位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pStyle w:val="6"/>
              <w:spacing w:before="123" w:line="220" w:lineRule="auto"/>
              <w:ind w:left="20"/>
            </w:pPr>
            <w:r>
              <w:rPr>
                <w:spacing w:val="-1"/>
              </w:rPr>
              <w:t>县党史研究和地方志编纂中心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295" w:type="dxa"/>
            <w:gridSpan w:val="4"/>
            <w:vAlign w:val="top"/>
          </w:tcPr>
          <w:p>
            <w:pPr>
              <w:pStyle w:val="6"/>
              <w:spacing w:before="41" w:line="214" w:lineRule="auto"/>
              <w:ind w:left="23"/>
            </w:pPr>
            <w:r>
              <w:rPr>
                <w:spacing w:val="-3"/>
              </w:rPr>
              <w:t>项目类型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33" w:lineRule="auto"/>
              <w:ind w:left="90" w:right="85" w:firstLine="3"/>
            </w:pPr>
            <w:r>
              <w:rPr>
                <w:spacing w:val="-7"/>
              </w:rPr>
              <w:t>项目</w:t>
            </w:r>
            <w:r>
              <w:rPr>
                <w:spacing w:val="-5"/>
              </w:rPr>
              <w:t>概况</w:t>
            </w:r>
          </w:p>
        </w:tc>
        <w:tc>
          <w:tcPr>
            <w:tcW w:w="3639" w:type="dxa"/>
            <w:gridSpan w:val="3"/>
            <w:vAlign w:val="top"/>
          </w:tcPr>
          <w:p>
            <w:pPr>
              <w:pStyle w:val="6"/>
              <w:spacing w:before="42" w:line="221" w:lineRule="auto"/>
              <w:ind w:left="37"/>
            </w:pPr>
            <w:r>
              <w:rPr>
                <w:spacing w:val="-3"/>
              </w:rPr>
              <w:t>中长期规划（名称、文号，仅指</w:t>
            </w:r>
          </w:p>
          <w:p>
            <w:pPr>
              <w:pStyle w:val="6"/>
              <w:spacing w:before="12" w:line="213" w:lineRule="auto"/>
              <w:ind w:left="21"/>
            </w:pPr>
            <w:r>
              <w:rPr>
                <w:spacing w:val="-5"/>
              </w:rPr>
              <w:t>常年项目）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9" w:type="dxa"/>
            <w:gridSpan w:val="3"/>
            <w:vAlign w:val="top"/>
          </w:tcPr>
          <w:p>
            <w:pPr>
              <w:pStyle w:val="6"/>
              <w:spacing w:before="43" w:line="213" w:lineRule="auto"/>
              <w:ind w:left="25"/>
            </w:pPr>
            <w:r>
              <w:rPr>
                <w:spacing w:val="-3"/>
              </w:rPr>
              <w:t>资金管理办法（名称、文号）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9" w:type="dxa"/>
            <w:gridSpan w:val="3"/>
            <w:vAlign w:val="top"/>
          </w:tcPr>
          <w:p>
            <w:pPr>
              <w:pStyle w:val="6"/>
              <w:spacing w:before="193" w:line="221" w:lineRule="auto"/>
              <w:ind w:left="19"/>
            </w:pPr>
            <w:r>
              <w:rPr>
                <w:spacing w:val="-2"/>
              </w:rPr>
              <w:t>绩效分配方式</w:t>
            </w:r>
          </w:p>
        </w:tc>
        <w:tc>
          <w:tcPr>
            <w:tcW w:w="1126" w:type="dxa"/>
            <w:vAlign w:val="top"/>
          </w:tcPr>
          <w:p>
            <w:pPr>
              <w:pStyle w:val="6"/>
              <w:spacing w:before="193" w:line="220" w:lineRule="auto"/>
              <w:ind w:left="17"/>
            </w:pPr>
            <w:r>
              <w:rPr>
                <w:rFonts w:ascii="Times New Roman" w:hAnsi="Times New Roman" w:eastAsia="Times New Roman" w:cs="Times New Roman"/>
                <w:spacing w:val="-2"/>
              </w:rPr>
              <w:t>£</w:t>
            </w:r>
            <w:r>
              <w:rPr>
                <w:spacing w:val="-2"/>
              </w:rPr>
              <w:t>因素法</w:t>
            </w:r>
          </w:p>
        </w:tc>
        <w:tc>
          <w:tcPr>
            <w:tcW w:w="2030" w:type="dxa"/>
            <w:gridSpan w:val="2"/>
            <w:vAlign w:val="top"/>
          </w:tcPr>
          <w:p>
            <w:pPr>
              <w:spacing w:before="186" w:line="302" w:lineRule="exact"/>
              <w:ind w:left="779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36"/>
                <w:w w:val="102"/>
                <w:position w:val="1"/>
                <w:sz w:val="24"/>
                <w:szCs w:val="24"/>
              </w:rPr>
              <w:t>£</w:t>
            </w:r>
            <w:r>
              <w:rPr>
                <w:rFonts w:ascii="Arial" w:hAnsi="Arial" w:eastAsia="Arial" w:cs="Arial"/>
                <w:spacing w:val="36"/>
                <w:w w:val="102"/>
                <w:position w:val="1"/>
                <w:sz w:val="24"/>
                <w:szCs w:val="24"/>
              </w:rPr>
              <w:t>III</w:t>
            </w:r>
          </w:p>
        </w:tc>
        <w:tc>
          <w:tcPr>
            <w:tcW w:w="937" w:type="dxa"/>
            <w:vAlign w:val="top"/>
          </w:tcPr>
          <w:p>
            <w:pPr>
              <w:pStyle w:val="6"/>
              <w:spacing w:before="41" w:line="222" w:lineRule="auto"/>
              <w:ind w:left="361" w:right="39" w:hanging="307"/>
            </w:pPr>
            <w:r>
              <w:rPr>
                <w:rFonts w:ascii="Times New Roman" w:hAnsi="Times New Roman" w:eastAsia="Times New Roman" w:cs="Times New Roman"/>
                <w:spacing w:val="-2"/>
              </w:rPr>
              <w:t>£</w:t>
            </w:r>
            <w:r>
              <w:rPr>
                <w:spacing w:val="-2"/>
              </w:rPr>
              <w:t>据实据</w:t>
            </w:r>
            <w:r>
              <w:t>效</w:t>
            </w:r>
          </w:p>
        </w:tc>
        <w:tc>
          <w:tcPr>
            <w:tcW w:w="1844" w:type="dxa"/>
            <w:vAlign w:val="top"/>
          </w:tcPr>
          <w:p>
            <w:pPr>
              <w:pStyle w:val="6"/>
              <w:spacing w:before="41" w:line="222" w:lineRule="auto"/>
              <w:ind w:left="568" w:right="14" w:hanging="542"/>
            </w:pPr>
            <w:r>
              <w:rPr>
                <w:rFonts w:ascii="Times New Roman" w:hAnsi="Times New Roman" w:eastAsia="Times New Roman" w:cs="Times New Roman"/>
                <w:spacing w:val="-1"/>
              </w:rPr>
              <w:t>£</w:t>
            </w:r>
            <w:r>
              <w:rPr>
                <w:spacing w:val="-1"/>
              </w:rPr>
              <w:t>因素法与项目法</w:t>
            </w:r>
            <w:r>
              <w:rPr>
                <w:spacing w:val="-3"/>
              </w:rPr>
              <w:t>相结合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9" w:type="dxa"/>
            <w:gridSpan w:val="3"/>
            <w:vAlign w:val="top"/>
          </w:tcPr>
          <w:p>
            <w:pPr>
              <w:pStyle w:val="6"/>
              <w:spacing w:before="44" w:line="212" w:lineRule="auto"/>
              <w:ind w:left="15"/>
            </w:pPr>
            <w:r>
              <w:rPr>
                <w:spacing w:val="-2"/>
              </w:rPr>
              <w:t>立项依据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9" w:type="dxa"/>
            <w:gridSpan w:val="3"/>
            <w:vAlign w:val="top"/>
          </w:tcPr>
          <w:p>
            <w:pPr>
              <w:pStyle w:val="6"/>
              <w:spacing w:before="194" w:line="220" w:lineRule="auto"/>
              <w:ind w:left="16"/>
            </w:pPr>
            <w:r>
              <w:rPr>
                <w:spacing w:val="-2"/>
              </w:rPr>
              <w:t>使用范围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spacing w:before="1" w:line="178" w:lineRule="auto"/>
              <w:ind w:left="37" w:right="156" w:hanging="6"/>
              <w:rPr>
                <w:rFonts w:ascii="FangSong" w:hAnsi="FangSong" w:eastAsia="FangSong" w:cs="FangSong"/>
                <w:sz w:val="32"/>
                <w:szCs w:val="32"/>
              </w:rPr>
            </w:pPr>
            <w:r>
              <w:rPr>
                <w:rFonts w:ascii="FangSong" w:hAnsi="FangSong" w:eastAsia="FangSong" w:cs="FangSong"/>
                <w:spacing w:val="-2"/>
                <w:sz w:val="32"/>
                <w:szCs w:val="32"/>
              </w:rPr>
              <w:t>拍摄制作《高原守望  碉楼文明》口述历</w:t>
            </w:r>
            <w:r>
              <w:rPr>
                <w:rFonts w:ascii="FangSong" w:hAnsi="FangSong" w:eastAsia="FangSong" w:cs="FangSong"/>
                <w:spacing w:val="-6"/>
                <w:sz w:val="32"/>
                <w:szCs w:val="32"/>
              </w:rPr>
              <w:t>史纪录片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9" w:type="dxa"/>
            <w:gridSpan w:val="3"/>
            <w:vAlign w:val="top"/>
          </w:tcPr>
          <w:p>
            <w:pPr>
              <w:pStyle w:val="6"/>
              <w:spacing w:before="44" w:line="211" w:lineRule="auto"/>
              <w:ind w:left="46"/>
            </w:pPr>
            <w:r>
              <w:rPr>
                <w:spacing w:val="-5"/>
              </w:rPr>
              <w:t>申报（补助）条件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9" w:type="dxa"/>
            <w:gridSpan w:val="3"/>
            <w:vAlign w:val="top"/>
          </w:tcPr>
          <w:p>
            <w:pPr>
              <w:pStyle w:val="6"/>
              <w:spacing w:before="45" w:line="211" w:lineRule="auto"/>
              <w:ind w:left="19"/>
            </w:pPr>
            <w:r>
              <w:rPr>
                <w:spacing w:val="-2"/>
              </w:rPr>
              <w:t>项目起止年限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pStyle w:val="6"/>
              <w:spacing w:before="49" w:line="208" w:lineRule="auto"/>
              <w:ind w:left="38"/>
            </w:pPr>
            <w:r>
              <w:rPr>
                <w:rFonts w:ascii="Times New Roman" w:hAnsi="Times New Roman" w:eastAsia="Times New Roman" w:cs="Times New Roman"/>
                <w:spacing w:val="-15"/>
              </w:rPr>
              <w:t>1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15"/>
              </w:rPr>
              <w:t>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736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36" w:line="233" w:lineRule="auto"/>
              <w:ind w:left="396" w:right="384" w:hanging="2"/>
            </w:pPr>
            <w:r>
              <w:rPr>
                <w:spacing w:val="-4"/>
              </w:rPr>
              <w:t>项目资金</w:t>
            </w:r>
            <w:r>
              <w:rPr>
                <w:spacing w:val="-6"/>
              </w:rPr>
              <w:t>（万元）</w:t>
            </w:r>
          </w:p>
        </w:tc>
        <w:tc>
          <w:tcPr>
            <w:tcW w:w="2559" w:type="dxa"/>
            <w:gridSpan w:val="2"/>
            <w:vAlign w:val="top"/>
          </w:tcPr>
          <w:p>
            <w:pPr>
              <w:pStyle w:val="6"/>
              <w:spacing w:before="45" w:line="211" w:lineRule="auto"/>
              <w:ind w:left="257"/>
            </w:pPr>
            <w:r>
              <w:rPr>
                <w:spacing w:val="-9"/>
              </w:rPr>
              <w:t>年度资金总额：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spacing w:before="93" w:line="186" w:lineRule="auto"/>
              <w:ind w:right="2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12.95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73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9" w:type="dxa"/>
            <w:gridSpan w:val="2"/>
            <w:vAlign w:val="top"/>
          </w:tcPr>
          <w:p>
            <w:pPr>
              <w:pStyle w:val="6"/>
              <w:spacing w:before="45" w:line="211" w:lineRule="auto"/>
              <w:ind w:left="737"/>
            </w:pPr>
            <w:r>
              <w:rPr>
                <w:spacing w:val="-2"/>
              </w:rPr>
              <w:t>其中：财政拨款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spacing w:before="93" w:line="186" w:lineRule="auto"/>
              <w:ind w:right="2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12.95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736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9" w:type="dxa"/>
            <w:gridSpan w:val="2"/>
            <w:vAlign w:val="top"/>
          </w:tcPr>
          <w:p>
            <w:pPr>
              <w:pStyle w:val="6"/>
              <w:spacing w:before="45" w:line="211" w:lineRule="auto"/>
              <w:ind w:left="1457"/>
            </w:pPr>
            <w:r>
              <w:rPr>
                <w:spacing w:val="-2"/>
              </w:rPr>
              <w:t>其他资金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33" w:lineRule="auto"/>
              <w:ind w:left="135" w:right="85" w:hanging="42"/>
            </w:pPr>
            <w:r>
              <w:rPr>
                <w:spacing w:val="-7"/>
              </w:rPr>
              <w:t>总体</w:t>
            </w:r>
            <w:r>
              <w:rPr>
                <w:spacing w:val="-28"/>
              </w:rPr>
              <w:t>目标</w:t>
            </w:r>
          </w:p>
        </w:tc>
        <w:tc>
          <w:tcPr>
            <w:tcW w:w="9576" w:type="dxa"/>
            <w:gridSpan w:val="8"/>
            <w:vAlign w:val="top"/>
          </w:tcPr>
          <w:p>
            <w:pPr>
              <w:pStyle w:val="6"/>
              <w:spacing w:before="45" w:line="211" w:lineRule="auto"/>
              <w:ind w:left="4311"/>
            </w:pPr>
            <w:r>
              <w:rPr>
                <w:spacing w:val="-2"/>
              </w:rPr>
              <w:t>年度目标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9" w:hRule="atLeast"/>
        </w:trPr>
        <w:tc>
          <w:tcPr>
            <w:tcW w:w="65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76" w:type="dxa"/>
            <w:gridSpan w:val="8"/>
            <w:vAlign w:val="top"/>
          </w:tcPr>
          <w:p>
            <w:pPr>
              <w:pStyle w:val="6"/>
              <w:spacing w:before="74" w:line="254" w:lineRule="auto"/>
              <w:ind w:left="14" w:firstLine="31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口述历史纪录片以习近平新时代中国特色社会主义思想为统揽，紧紧围绕</w:t>
            </w: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20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以史鉴今，</w:t>
            </w:r>
            <w:r>
              <w:rPr>
                <w:spacing w:val="-4"/>
                <w:sz w:val="21"/>
                <w:szCs w:val="21"/>
              </w:rPr>
              <w:t>以启未来</w:t>
            </w: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>”</w:t>
            </w:r>
            <w:r>
              <w:rPr>
                <w:spacing w:val="-4"/>
                <w:sz w:val="21"/>
                <w:szCs w:val="21"/>
              </w:rPr>
              <w:t>为目标，</w:t>
            </w:r>
            <w:bookmarkStart w:id="0" w:name="_GoBack"/>
            <w:bookmarkEnd w:id="0"/>
            <w:r>
              <w:rPr>
                <w:spacing w:val="1"/>
                <w:sz w:val="21"/>
                <w:szCs w:val="21"/>
              </w:rPr>
              <w:t>能够使各族人民明史知兴衰中，能够使黑水儿女团结自强不息、攻坚克难。发挥部门职能，整合资源，开辟党史学习教育新渠道，将红色口述历史纪录片《红军长征在黑水》《解放黑水》《黑水民兵》《藏民团》《沟</w:t>
            </w:r>
            <w:r>
              <w:rPr>
                <w:sz w:val="21"/>
                <w:szCs w:val="21"/>
              </w:rPr>
              <w:t>域嬗变》组成片库，向县级各部门、</w:t>
            </w:r>
            <w:r>
              <w:rPr>
                <w:spacing w:val="-3"/>
                <w:sz w:val="21"/>
                <w:szCs w:val="21"/>
              </w:rPr>
              <w:t>各乡镇借阅影像专辑和拷贝口述历史片库。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33" w:lineRule="auto"/>
              <w:ind w:left="93" w:right="85"/>
            </w:pPr>
            <w:r>
              <w:rPr>
                <w:spacing w:val="-7"/>
              </w:rPr>
              <w:t>绩效指标</w:t>
            </w:r>
          </w:p>
        </w:tc>
        <w:tc>
          <w:tcPr>
            <w:tcW w:w="1080" w:type="dxa"/>
            <w:vAlign w:val="top"/>
          </w:tcPr>
          <w:p>
            <w:pPr>
              <w:pStyle w:val="6"/>
              <w:spacing w:before="47" w:line="210" w:lineRule="auto"/>
              <w:ind w:left="64"/>
            </w:pPr>
            <w:r>
              <w:rPr>
                <w:spacing w:val="-4"/>
              </w:rPr>
              <w:t>一级指标</w:t>
            </w:r>
          </w:p>
        </w:tc>
        <w:tc>
          <w:tcPr>
            <w:tcW w:w="1249" w:type="dxa"/>
            <w:vAlign w:val="top"/>
          </w:tcPr>
          <w:p>
            <w:pPr>
              <w:pStyle w:val="6"/>
              <w:spacing w:before="47" w:line="210" w:lineRule="auto"/>
              <w:ind w:left="150"/>
            </w:pPr>
            <w:r>
              <w:rPr>
                <w:spacing w:val="-3"/>
              </w:rPr>
              <w:t>二级指标</w:t>
            </w:r>
          </w:p>
        </w:tc>
        <w:tc>
          <w:tcPr>
            <w:tcW w:w="1310" w:type="dxa"/>
            <w:vAlign w:val="top"/>
          </w:tcPr>
          <w:p>
            <w:pPr>
              <w:pStyle w:val="6"/>
              <w:spacing w:before="47" w:line="210" w:lineRule="auto"/>
              <w:ind w:left="178"/>
            </w:pPr>
            <w:r>
              <w:rPr>
                <w:spacing w:val="-2"/>
              </w:rPr>
              <w:t>三级指标</w:t>
            </w:r>
          </w:p>
        </w:tc>
        <w:tc>
          <w:tcPr>
            <w:tcW w:w="1126" w:type="dxa"/>
            <w:vAlign w:val="top"/>
          </w:tcPr>
          <w:p>
            <w:pPr>
              <w:pStyle w:val="6"/>
              <w:spacing w:before="47" w:line="210" w:lineRule="auto"/>
              <w:ind w:left="90"/>
            </w:pPr>
            <w:r>
              <w:rPr>
                <w:spacing w:val="-3"/>
              </w:rPr>
              <w:t>指标性质</w:t>
            </w:r>
          </w:p>
        </w:tc>
        <w:tc>
          <w:tcPr>
            <w:tcW w:w="970" w:type="dxa"/>
            <w:vAlign w:val="top"/>
          </w:tcPr>
          <w:p>
            <w:pPr>
              <w:pStyle w:val="6"/>
              <w:spacing w:before="47" w:line="210" w:lineRule="auto"/>
              <w:ind w:left="133"/>
            </w:pPr>
            <w:r>
              <w:rPr>
                <w:spacing w:val="-3"/>
              </w:rPr>
              <w:t>指标值</w:t>
            </w:r>
          </w:p>
        </w:tc>
        <w:tc>
          <w:tcPr>
            <w:tcW w:w="1060" w:type="dxa"/>
            <w:vAlign w:val="top"/>
          </w:tcPr>
          <w:p>
            <w:pPr>
              <w:pStyle w:val="6"/>
              <w:spacing w:before="47" w:line="210" w:lineRule="auto"/>
              <w:ind w:left="55"/>
            </w:pPr>
            <w:r>
              <w:rPr>
                <w:spacing w:val="-2"/>
              </w:rPr>
              <w:t>度量单位</w:t>
            </w:r>
          </w:p>
        </w:tc>
        <w:tc>
          <w:tcPr>
            <w:tcW w:w="937" w:type="dxa"/>
            <w:vAlign w:val="top"/>
          </w:tcPr>
          <w:p>
            <w:pPr>
              <w:pStyle w:val="6"/>
              <w:spacing w:before="47" w:line="210" w:lineRule="auto"/>
              <w:ind w:left="235"/>
            </w:pPr>
            <w:r>
              <w:rPr>
                <w:spacing w:val="-3"/>
              </w:rPr>
              <w:t>权重</w:t>
            </w:r>
          </w:p>
        </w:tc>
        <w:tc>
          <w:tcPr>
            <w:tcW w:w="1844" w:type="dxa"/>
            <w:vAlign w:val="top"/>
          </w:tcPr>
          <w:p>
            <w:pPr>
              <w:pStyle w:val="6"/>
              <w:spacing w:before="47" w:line="210" w:lineRule="auto"/>
              <w:ind w:left="94"/>
            </w:pPr>
            <w:r>
              <w:rPr>
                <w:spacing w:val="-2"/>
              </w:rPr>
              <w:t>实际完成指标值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restart"/>
            <w:tcBorders>
              <w:bottom w:val="nil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60"/>
            </w:pPr>
            <w:r>
              <w:rPr>
                <w:spacing w:val="-2"/>
              </w:rPr>
              <w:t>产出指标</w:t>
            </w: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spacing w:line="43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148"/>
            </w:pPr>
            <w:r>
              <w:rPr>
                <w:spacing w:val="-3"/>
              </w:rPr>
              <w:t>数量指标</w:t>
            </w:r>
          </w:p>
        </w:tc>
        <w:tc>
          <w:tcPr>
            <w:tcW w:w="131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18"/>
            </w:pPr>
            <w:r>
              <w:rPr>
                <w:spacing w:val="-3"/>
              </w:rPr>
              <w:t>制作数</w:t>
            </w:r>
          </w:p>
        </w:tc>
        <w:tc>
          <w:tcPr>
            <w:tcW w:w="1126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38" w:lineRule="auto"/>
              <w:ind w:left="471"/>
            </w:pPr>
            <w:r>
              <w:t>≥</w:t>
            </w:r>
          </w:p>
        </w:tc>
        <w:tc>
          <w:tcPr>
            <w:tcW w:w="970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before="69" w:line="186" w:lineRule="auto"/>
              <w:ind w:left="44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06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419"/>
            </w:pPr>
            <w:r>
              <w:t>部</w:t>
            </w:r>
          </w:p>
        </w:tc>
        <w:tc>
          <w:tcPr>
            <w:tcW w:w="937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spacing w:before="69" w:line="186" w:lineRule="auto"/>
              <w:ind w:left="35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20</w:t>
            </w:r>
          </w:p>
        </w:tc>
        <w:tc>
          <w:tcPr>
            <w:tcW w:w="1844" w:type="dxa"/>
            <w:vAlign w:val="top"/>
          </w:tcPr>
          <w:p>
            <w:pPr>
              <w:pStyle w:val="6"/>
              <w:spacing w:before="1" w:line="170" w:lineRule="auto"/>
              <w:ind w:left="50"/>
              <w:rPr>
                <w:rFonts w:ascii="FangSong" w:hAnsi="FangSong" w:eastAsia="FangSong" w:cs="FangSong"/>
                <w:sz w:val="32"/>
                <w:szCs w:val="32"/>
              </w:rPr>
            </w:pPr>
            <w:r>
              <w:rPr>
                <w:spacing w:val="-7"/>
              </w:rPr>
              <w:t>完成</w:t>
            </w:r>
            <w:r>
              <w:rPr>
                <w:rFonts w:ascii="FangSong" w:hAnsi="FangSong" w:eastAsia="FangSong" w:cs="FangSong"/>
                <w:spacing w:val="-7"/>
                <w:sz w:val="32"/>
                <w:szCs w:val="32"/>
              </w:rPr>
              <w:t>《高原守</w:t>
            </w:r>
          </w:p>
          <w:p>
            <w:pPr>
              <w:spacing w:before="2" w:line="179" w:lineRule="auto"/>
              <w:ind w:left="360" w:right="114" w:hanging="216"/>
              <w:rPr>
                <w:rFonts w:ascii="FangSong" w:hAnsi="FangSong" w:eastAsia="FangSong" w:cs="FangSong"/>
                <w:sz w:val="32"/>
                <w:szCs w:val="32"/>
              </w:rPr>
            </w:pPr>
            <w:r>
              <w:rPr>
                <w:rFonts w:ascii="FangSong" w:hAnsi="FangSong" w:eastAsia="FangSong" w:cs="FangSong"/>
                <w:spacing w:val="-12"/>
                <w:sz w:val="32"/>
                <w:szCs w:val="32"/>
              </w:rPr>
              <w:t>望</w:t>
            </w:r>
            <w:r>
              <w:rPr>
                <w:rFonts w:ascii="FangSong" w:hAnsi="FangSong" w:eastAsia="FangSong" w:cs="FangSong"/>
                <w:spacing w:val="11"/>
                <w:sz w:val="32"/>
                <w:szCs w:val="32"/>
              </w:rPr>
              <w:t xml:space="preserve">  </w:t>
            </w:r>
            <w:r>
              <w:rPr>
                <w:rFonts w:ascii="FangSong" w:hAnsi="FangSong" w:eastAsia="FangSong" w:cs="FangSong"/>
                <w:spacing w:val="-12"/>
                <w:sz w:val="32"/>
                <w:szCs w:val="32"/>
              </w:rPr>
              <w:t>碉楼文</w:t>
            </w:r>
            <w:r>
              <w:rPr>
                <w:rFonts w:ascii="FangSong" w:hAnsi="FangSong" w:eastAsia="FangSong" w:cs="FangSong"/>
                <w:spacing w:val="15"/>
                <w:sz w:val="32"/>
                <w:szCs w:val="32"/>
              </w:rPr>
              <w:t>明》1部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1" w:lineRule="auto"/>
              <w:ind w:left="147"/>
            </w:pPr>
            <w:r>
              <w:rPr>
                <w:spacing w:val="-2"/>
              </w:rPr>
              <w:t>质量指标</w:t>
            </w:r>
          </w:p>
        </w:tc>
        <w:tc>
          <w:tcPr>
            <w:tcW w:w="1310" w:type="dxa"/>
            <w:vAlign w:val="top"/>
          </w:tcPr>
          <w:p>
            <w:pPr>
              <w:pStyle w:val="6"/>
              <w:spacing w:before="52" w:line="220" w:lineRule="auto"/>
              <w:ind w:left="20"/>
            </w:pPr>
            <w:r>
              <w:rPr>
                <w:spacing w:val="9"/>
              </w:rPr>
              <w:t>征集资料、</w:t>
            </w:r>
          </w:p>
          <w:p>
            <w:pPr>
              <w:pStyle w:val="6"/>
              <w:spacing w:before="13" w:line="206" w:lineRule="auto"/>
              <w:ind w:left="19"/>
            </w:pPr>
            <w:r>
              <w:rPr>
                <w:spacing w:val="-2"/>
              </w:rPr>
              <w:t>成品合格率</w:t>
            </w:r>
          </w:p>
        </w:tc>
        <w:tc>
          <w:tcPr>
            <w:tcW w:w="1126" w:type="dxa"/>
            <w:vAlign w:val="top"/>
          </w:tcPr>
          <w:p>
            <w:pPr>
              <w:pStyle w:val="6"/>
              <w:spacing w:before="202" w:line="238" w:lineRule="auto"/>
              <w:ind w:left="471"/>
            </w:pPr>
            <w:r>
              <w:t>≥</w:t>
            </w:r>
          </w:p>
        </w:tc>
        <w:tc>
          <w:tcPr>
            <w:tcW w:w="970" w:type="dxa"/>
            <w:vAlign w:val="top"/>
          </w:tcPr>
          <w:p>
            <w:pPr>
              <w:spacing w:before="245" w:line="186" w:lineRule="auto"/>
              <w:ind w:left="3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99</w:t>
            </w:r>
          </w:p>
        </w:tc>
        <w:tc>
          <w:tcPr>
            <w:tcW w:w="1060" w:type="dxa"/>
            <w:vAlign w:val="top"/>
          </w:tcPr>
          <w:p>
            <w:pPr>
              <w:spacing w:before="245" w:line="186" w:lineRule="auto"/>
              <w:ind w:left="43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937" w:type="dxa"/>
            <w:vAlign w:val="top"/>
          </w:tcPr>
          <w:p>
            <w:pPr>
              <w:spacing w:before="245" w:line="186" w:lineRule="auto"/>
              <w:ind w:left="3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10</w:t>
            </w:r>
          </w:p>
        </w:tc>
        <w:tc>
          <w:tcPr>
            <w:tcW w:w="1844" w:type="dxa"/>
            <w:vAlign w:val="top"/>
          </w:tcPr>
          <w:p>
            <w:pPr>
              <w:pStyle w:val="6"/>
              <w:spacing w:before="201" w:line="222" w:lineRule="auto"/>
              <w:ind w:left="322"/>
              <w:rPr>
                <w:rFonts w:ascii="Times New Roman" w:hAnsi="Times New Roman" w:eastAsia="Times New Roman" w:cs="Times New Roman"/>
              </w:rPr>
            </w:pPr>
            <w:r>
              <w:rPr>
                <w:spacing w:val="-4"/>
              </w:rPr>
              <w:t>不低于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99%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1" w:lineRule="auto"/>
              <w:ind w:left="157"/>
            </w:pPr>
            <w:r>
              <w:rPr>
                <w:spacing w:val="-4"/>
              </w:rPr>
              <w:t>时效指标</w:t>
            </w:r>
          </w:p>
        </w:tc>
        <w:tc>
          <w:tcPr>
            <w:tcW w:w="1310" w:type="dxa"/>
            <w:vAlign w:val="top"/>
          </w:tcPr>
          <w:p>
            <w:pPr>
              <w:pStyle w:val="6"/>
              <w:spacing w:before="203" w:line="220" w:lineRule="auto"/>
              <w:ind w:left="19"/>
            </w:pPr>
            <w:r>
              <w:rPr>
                <w:spacing w:val="-3"/>
              </w:rPr>
              <w:t>完成时间</w:t>
            </w:r>
          </w:p>
        </w:tc>
        <w:tc>
          <w:tcPr>
            <w:tcW w:w="1126" w:type="dxa"/>
            <w:vAlign w:val="top"/>
          </w:tcPr>
          <w:p>
            <w:pPr>
              <w:spacing w:before="167" w:line="315" w:lineRule="exact"/>
              <w:ind w:left="49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4"/>
                <w:szCs w:val="24"/>
              </w:rPr>
              <w:t>=</w:t>
            </w:r>
          </w:p>
        </w:tc>
        <w:tc>
          <w:tcPr>
            <w:tcW w:w="970" w:type="dxa"/>
            <w:vAlign w:val="top"/>
          </w:tcPr>
          <w:p>
            <w:pPr>
              <w:spacing w:before="246" w:line="186" w:lineRule="auto"/>
              <w:ind w:left="2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2025</w:t>
            </w:r>
          </w:p>
        </w:tc>
        <w:tc>
          <w:tcPr>
            <w:tcW w:w="1060" w:type="dxa"/>
            <w:vAlign w:val="top"/>
          </w:tcPr>
          <w:p>
            <w:pPr>
              <w:pStyle w:val="6"/>
              <w:spacing w:before="203" w:line="220" w:lineRule="auto"/>
              <w:ind w:left="417"/>
            </w:pPr>
            <w:r>
              <w:t>年</w:t>
            </w:r>
          </w:p>
        </w:tc>
        <w:tc>
          <w:tcPr>
            <w:tcW w:w="937" w:type="dxa"/>
            <w:vAlign w:val="top"/>
          </w:tcPr>
          <w:p>
            <w:pPr>
              <w:spacing w:before="246" w:line="186" w:lineRule="auto"/>
              <w:ind w:left="3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10</w:t>
            </w:r>
          </w:p>
        </w:tc>
        <w:tc>
          <w:tcPr>
            <w:tcW w:w="1844" w:type="dxa"/>
            <w:vAlign w:val="top"/>
          </w:tcPr>
          <w:p>
            <w:pPr>
              <w:pStyle w:val="6"/>
              <w:spacing w:before="53" w:line="220" w:lineRule="auto"/>
              <w:ind w:left="5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5"/>
              </w:rPr>
              <w:t xml:space="preserve">2025 </w:t>
            </w:r>
            <w:r>
              <w:rPr>
                <w:spacing w:val="-5"/>
              </w:rPr>
              <w:t>年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</w:t>
            </w:r>
            <w:r>
              <w:rPr>
                <w:spacing w:val="-5"/>
              </w:rPr>
              <w:t>月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20</w:t>
            </w:r>
          </w:p>
          <w:p>
            <w:pPr>
              <w:pStyle w:val="6"/>
              <w:spacing w:before="13" w:line="205" w:lineRule="auto"/>
              <w:ind w:left="370"/>
            </w:pPr>
            <w:r>
              <w:rPr>
                <w:spacing w:val="-9"/>
              </w:rPr>
              <w:t>日之前完成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>
            <w:pPr>
              <w:spacing w:before="228" w:line="74" w:lineRule="exact"/>
              <w:ind w:left="45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-1"/>
                <w:sz w:val="24"/>
                <w:szCs w:val="24"/>
              </w:rPr>
              <w:t>......</w:t>
            </w: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restart"/>
            <w:tcBorders>
              <w:bottom w:val="nil"/>
            </w:tcBorders>
            <w:vAlign w:val="top"/>
          </w:tcPr>
          <w:p>
            <w:pPr>
              <w:spacing w:line="47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1" w:lineRule="auto"/>
              <w:ind w:left="66"/>
            </w:pPr>
            <w:r>
              <w:rPr>
                <w:spacing w:val="-3"/>
              </w:rPr>
              <w:t>效益指标</w:t>
            </w: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69" w:line="227" w:lineRule="auto"/>
              <w:ind w:left="388" w:right="141" w:hanging="240"/>
            </w:pPr>
            <w:r>
              <w:rPr>
                <w:spacing w:val="-3"/>
              </w:rPr>
              <w:t>经济效益</w:t>
            </w:r>
            <w:r>
              <w:rPr>
                <w:spacing w:val="-4"/>
              </w:rPr>
              <w:t>指标</w:t>
            </w: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71" w:line="228" w:lineRule="auto"/>
              <w:ind w:left="388" w:right="141" w:hanging="240"/>
            </w:pPr>
            <w:r>
              <w:rPr>
                <w:spacing w:val="-3"/>
              </w:rPr>
              <w:t>社会效益</w:t>
            </w:r>
            <w:r>
              <w:rPr>
                <w:spacing w:val="-4"/>
              </w:rPr>
              <w:t>指标</w:t>
            </w: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65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1906" w:h="16839"/>
          <w:pgMar w:top="1431" w:right="831" w:bottom="0" w:left="831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5"/>
        <w:tblW w:w="1023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6"/>
        <w:gridCol w:w="1080"/>
        <w:gridCol w:w="1249"/>
        <w:gridCol w:w="1310"/>
        <w:gridCol w:w="1126"/>
        <w:gridCol w:w="970"/>
        <w:gridCol w:w="1060"/>
        <w:gridCol w:w="937"/>
        <w:gridCol w:w="18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atLeast"/>
        </w:trPr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>
            <w:pPr>
              <w:pStyle w:val="6"/>
              <w:spacing w:before="195" w:line="233" w:lineRule="auto"/>
              <w:ind w:left="388" w:right="21" w:hanging="360"/>
            </w:pPr>
            <w:r>
              <w:rPr>
                <w:spacing w:val="-3"/>
              </w:rPr>
              <w:t>可持续影响</w:t>
            </w:r>
            <w:r>
              <w:rPr>
                <w:spacing w:val="-4"/>
              </w:rPr>
              <w:t>指标</w:t>
            </w:r>
          </w:p>
        </w:tc>
        <w:tc>
          <w:tcPr>
            <w:tcW w:w="1310" w:type="dxa"/>
            <w:vAlign w:val="top"/>
          </w:tcPr>
          <w:p>
            <w:pPr>
              <w:pStyle w:val="6"/>
              <w:spacing w:before="48" w:line="220" w:lineRule="auto"/>
              <w:ind w:left="20"/>
            </w:pPr>
            <w:r>
              <w:rPr>
                <w:spacing w:val="13"/>
              </w:rPr>
              <w:t>为后人提供</w:t>
            </w:r>
          </w:p>
          <w:p>
            <w:pPr>
              <w:pStyle w:val="6"/>
              <w:spacing w:before="15" w:line="220" w:lineRule="auto"/>
              <w:ind w:left="18" w:right="9"/>
            </w:pPr>
            <w:r>
              <w:rPr>
                <w:spacing w:val="14"/>
              </w:rPr>
              <w:t>党史史料的</w:t>
            </w:r>
            <w:r>
              <w:rPr>
                <w:spacing w:val="-3"/>
              </w:rPr>
              <w:t>作用</w:t>
            </w:r>
          </w:p>
        </w:tc>
        <w:tc>
          <w:tcPr>
            <w:tcW w:w="1126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38" w:lineRule="auto"/>
              <w:ind w:left="471"/>
            </w:pPr>
            <w:r>
              <w:t>≥</w:t>
            </w:r>
          </w:p>
        </w:tc>
        <w:tc>
          <w:tcPr>
            <w:tcW w:w="970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spacing w:before="69" w:line="186" w:lineRule="auto"/>
              <w:ind w:left="3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95</w:t>
            </w:r>
          </w:p>
        </w:tc>
        <w:tc>
          <w:tcPr>
            <w:tcW w:w="1060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spacing w:before="69" w:line="186" w:lineRule="auto"/>
              <w:ind w:left="43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937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spacing w:before="69" w:line="186" w:lineRule="auto"/>
              <w:ind w:left="35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20</w:t>
            </w:r>
          </w:p>
        </w:tc>
        <w:tc>
          <w:tcPr>
            <w:tcW w:w="1844" w:type="dxa"/>
            <w:vAlign w:val="top"/>
          </w:tcPr>
          <w:p>
            <w:pPr>
              <w:pStyle w:val="6"/>
              <w:spacing w:before="198" w:line="233" w:lineRule="auto"/>
              <w:ind w:left="449" w:right="74" w:hanging="358"/>
            </w:pPr>
            <w:r>
              <w:rPr>
                <w:spacing w:val="-2"/>
              </w:rPr>
              <w:t>为后人提供党史作用显著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8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pStyle w:val="6"/>
              <w:spacing w:before="193" w:line="233" w:lineRule="auto"/>
              <w:ind w:left="302" w:right="178" w:hanging="122"/>
            </w:pPr>
            <w:r>
              <w:rPr>
                <w:spacing w:val="-4"/>
              </w:rPr>
              <w:t>满意度指标</w:t>
            </w:r>
          </w:p>
        </w:tc>
        <w:tc>
          <w:tcPr>
            <w:tcW w:w="1249" w:type="dxa"/>
            <w:vAlign w:val="top"/>
          </w:tcPr>
          <w:p>
            <w:pPr>
              <w:pStyle w:val="6"/>
              <w:spacing w:before="192" w:line="233" w:lineRule="auto"/>
              <w:ind w:left="26" w:right="21" w:firstLine="120"/>
            </w:pPr>
            <w:r>
              <w:rPr>
                <w:spacing w:val="-3"/>
              </w:rPr>
              <w:t>服务对象</w:t>
            </w:r>
            <w:r>
              <w:rPr>
                <w:spacing w:val="-2"/>
              </w:rPr>
              <w:t>满意度指标</w:t>
            </w:r>
          </w:p>
        </w:tc>
        <w:tc>
          <w:tcPr>
            <w:tcW w:w="1310" w:type="dxa"/>
            <w:vAlign w:val="top"/>
          </w:tcPr>
          <w:p>
            <w:pPr>
              <w:pStyle w:val="6"/>
              <w:spacing w:before="48" w:line="223" w:lineRule="auto"/>
              <w:ind w:left="19" w:right="9" w:hanging="2"/>
              <w:jc w:val="both"/>
            </w:pPr>
            <w:r>
              <w:rPr>
                <w:spacing w:val="14"/>
              </w:rPr>
              <w:t>全县党政机</w:t>
            </w:r>
            <w:r>
              <w:rPr>
                <w:spacing w:val="-8"/>
              </w:rPr>
              <w:t>关 干 部 职</w:t>
            </w:r>
            <w:r>
              <w:rPr>
                <w:spacing w:val="-3"/>
              </w:rPr>
              <w:t>工、人民</w:t>
            </w:r>
          </w:p>
        </w:tc>
        <w:tc>
          <w:tcPr>
            <w:tcW w:w="1126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38" w:lineRule="auto"/>
              <w:ind w:left="471"/>
            </w:pPr>
            <w:r>
              <w:t>≥</w:t>
            </w:r>
          </w:p>
        </w:tc>
        <w:tc>
          <w:tcPr>
            <w:tcW w:w="970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before="69" w:line="186" w:lineRule="auto"/>
              <w:ind w:left="3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96</w:t>
            </w:r>
          </w:p>
        </w:tc>
        <w:tc>
          <w:tcPr>
            <w:tcW w:w="1060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before="69" w:line="186" w:lineRule="auto"/>
              <w:ind w:left="43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937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spacing w:before="69" w:line="183" w:lineRule="auto"/>
              <w:ind w:left="41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184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2" w:lineRule="auto"/>
              <w:ind w:left="322"/>
              <w:rPr>
                <w:rFonts w:ascii="Times New Roman" w:hAnsi="Times New Roman" w:eastAsia="Times New Roman" w:cs="Times New Roman"/>
              </w:rPr>
            </w:pPr>
            <w:r>
              <w:rPr>
                <w:spacing w:val="-4"/>
              </w:rPr>
              <w:t>不低于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96%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>
            <w:pPr>
              <w:pStyle w:val="6"/>
              <w:spacing w:before="195" w:line="220" w:lineRule="auto"/>
              <w:ind w:left="26"/>
            </w:pPr>
            <w:r>
              <w:rPr>
                <w:spacing w:val="-2"/>
              </w:rPr>
              <w:t>满意度指标</w:t>
            </w:r>
          </w:p>
        </w:tc>
        <w:tc>
          <w:tcPr>
            <w:tcW w:w="1310" w:type="dxa"/>
            <w:vAlign w:val="top"/>
          </w:tcPr>
          <w:p>
            <w:pPr>
              <w:pStyle w:val="6"/>
              <w:spacing w:before="48" w:line="219" w:lineRule="auto"/>
              <w:ind w:left="15" w:right="9" w:firstLine="38"/>
            </w:pPr>
            <w:r>
              <w:rPr>
                <w:spacing w:val="7"/>
              </w:rPr>
              <w:t>口述历史采</w:t>
            </w:r>
            <w:r>
              <w:rPr>
                <w:spacing w:val="-2"/>
              </w:rPr>
              <w:t>访人员</w:t>
            </w:r>
          </w:p>
        </w:tc>
        <w:tc>
          <w:tcPr>
            <w:tcW w:w="1126" w:type="dxa"/>
            <w:vAlign w:val="top"/>
          </w:tcPr>
          <w:p>
            <w:pPr>
              <w:pStyle w:val="6"/>
              <w:spacing w:before="199" w:line="238" w:lineRule="auto"/>
              <w:ind w:left="471"/>
            </w:pPr>
            <w:r>
              <w:t>≥</w:t>
            </w:r>
          </w:p>
        </w:tc>
        <w:tc>
          <w:tcPr>
            <w:tcW w:w="970" w:type="dxa"/>
            <w:vAlign w:val="top"/>
          </w:tcPr>
          <w:p>
            <w:pPr>
              <w:spacing w:before="242" w:line="186" w:lineRule="auto"/>
              <w:ind w:left="3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10</w:t>
            </w:r>
          </w:p>
        </w:tc>
        <w:tc>
          <w:tcPr>
            <w:tcW w:w="1060" w:type="dxa"/>
            <w:vAlign w:val="top"/>
          </w:tcPr>
          <w:p>
            <w:pPr>
              <w:pStyle w:val="6"/>
              <w:spacing w:before="199" w:line="223" w:lineRule="auto"/>
              <w:ind w:left="418"/>
            </w:pPr>
            <w:r>
              <w:t>人</w:t>
            </w:r>
          </w:p>
        </w:tc>
        <w:tc>
          <w:tcPr>
            <w:tcW w:w="937" w:type="dxa"/>
            <w:vAlign w:val="top"/>
          </w:tcPr>
          <w:p>
            <w:pPr>
              <w:spacing w:before="246" w:line="183" w:lineRule="auto"/>
              <w:ind w:left="41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1844" w:type="dxa"/>
            <w:vAlign w:val="top"/>
          </w:tcPr>
          <w:p>
            <w:pPr>
              <w:pStyle w:val="6"/>
              <w:spacing w:before="199" w:line="223" w:lineRule="auto"/>
              <w:ind w:left="654"/>
            </w:pPr>
            <w:r>
              <w:rPr>
                <w:rFonts w:ascii="Times New Roman" w:hAnsi="Times New Roman" w:eastAsia="Times New Roman" w:cs="Times New Roman"/>
                <w:spacing w:val="-2"/>
              </w:rPr>
              <w:t>20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2"/>
              </w:rPr>
              <w:t>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restart"/>
            <w:tcBorders>
              <w:bottom w:val="nil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62"/>
            </w:pPr>
            <w:r>
              <w:rPr>
                <w:spacing w:val="-3"/>
              </w:rPr>
              <w:t>成本指标</w:t>
            </w:r>
          </w:p>
        </w:tc>
        <w:tc>
          <w:tcPr>
            <w:tcW w:w="1249" w:type="dxa"/>
            <w:vAlign w:val="top"/>
          </w:tcPr>
          <w:p>
            <w:pPr>
              <w:pStyle w:val="6"/>
              <w:spacing w:before="46" w:line="220" w:lineRule="auto"/>
              <w:ind w:left="388" w:right="141" w:hanging="240"/>
            </w:pPr>
            <w:r>
              <w:rPr>
                <w:spacing w:val="-3"/>
              </w:rPr>
              <w:t>经济成本</w:t>
            </w:r>
            <w:r>
              <w:rPr>
                <w:spacing w:val="-4"/>
              </w:rPr>
              <w:t>指标</w:t>
            </w:r>
          </w:p>
        </w:tc>
        <w:tc>
          <w:tcPr>
            <w:tcW w:w="1310" w:type="dxa"/>
            <w:vAlign w:val="top"/>
          </w:tcPr>
          <w:p>
            <w:pPr>
              <w:pStyle w:val="6"/>
              <w:spacing w:before="200" w:line="221" w:lineRule="auto"/>
              <w:ind w:left="20"/>
            </w:pPr>
            <w:r>
              <w:rPr>
                <w:spacing w:val="-3"/>
              </w:rPr>
              <w:t>投入资金</w:t>
            </w:r>
          </w:p>
        </w:tc>
        <w:tc>
          <w:tcPr>
            <w:tcW w:w="1126" w:type="dxa"/>
            <w:vAlign w:val="top"/>
          </w:tcPr>
          <w:p>
            <w:pPr>
              <w:pStyle w:val="6"/>
              <w:spacing w:before="200" w:line="237" w:lineRule="auto"/>
              <w:ind w:left="464"/>
            </w:pPr>
            <w:r>
              <w:t>≤</w:t>
            </w:r>
          </w:p>
        </w:tc>
        <w:tc>
          <w:tcPr>
            <w:tcW w:w="970" w:type="dxa"/>
            <w:vAlign w:val="top"/>
          </w:tcPr>
          <w:p>
            <w:pPr>
              <w:spacing w:before="244" w:line="186" w:lineRule="auto"/>
              <w:ind w:left="3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15</w:t>
            </w:r>
          </w:p>
        </w:tc>
        <w:tc>
          <w:tcPr>
            <w:tcW w:w="1060" w:type="dxa"/>
            <w:vAlign w:val="top"/>
          </w:tcPr>
          <w:p>
            <w:pPr>
              <w:pStyle w:val="6"/>
              <w:spacing w:before="200" w:line="221" w:lineRule="auto"/>
              <w:ind w:left="302"/>
            </w:pPr>
            <w:r>
              <w:rPr>
                <w:spacing w:val="-4"/>
              </w:rPr>
              <w:t>万元</w:t>
            </w:r>
          </w:p>
        </w:tc>
        <w:tc>
          <w:tcPr>
            <w:tcW w:w="937" w:type="dxa"/>
            <w:vAlign w:val="top"/>
          </w:tcPr>
          <w:p>
            <w:pPr>
              <w:spacing w:before="244" w:line="186" w:lineRule="auto"/>
              <w:ind w:left="35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20</w:t>
            </w:r>
          </w:p>
        </w:tc>
        <w:tc>
          <w:tcPr>
            <w:tcW w:w="1844" w:type="dxa"/>
            <w:vAlign w:val="top"/>
          </w:tcPr>
          <w:p>
            <w:pPr>
              <w:pStyle w:val="6"/>
              <w:spacing w:before="200" w:line="221" w:lineRule="auto"/>
              <w:ind w:left="407"/>
            </w:pPr>
            <w:r>
              <w:rPr>
                <w:rFonts w:ascii="Times New Roman" w:hAnsi="Times New Roman" w:eastAsia="Times New Roman" w:cs="Times New Roman"/>
                <w:spacing w:val="-6"/>
              </w:rPr>
              <w:t>12.95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6"/>
              </w:rPr>
              <w:t>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65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sectPr>
      <w:pgSz w:w="11906" w:h="16839"/>
      <w:pgMar w:top="1431" w:right="831" w:bottom="0" w:left="83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SimHei">
    <w:altName w:val="方正黑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KaiTi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FFFF5D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3</TotalTime>
  <ScaleCrop>false</ScaleCrop>
  <LinksUpToDate>false</LinksUpToDate>
  <Application>WPS Office_11.1.0.10702_F1E327BC-269C-435d-A152-05C5408002CA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2026-04-17T19:36:00Z</dcterms:created>
  <dc:creator>Administrator</dc:creator>
  <cp:lastModifiedBy>user</cp:lastModifiedBy>
  <dcterms:modified xsi:type="dcterms:W3CDTF">2026-09-16T10:48:48Z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2026-09-01T10:03:15Z</vt:filetime>
  </property>
  <property fmtid="{D5CDD505-2E9C-101B-9397-08002B2CF9AE}" pid="4" name="KSOProductBuildVer">
    <vt:lpwstr>2052-11.1.0.10702</vt:lpwstr>
  </property>
</Properties>
</file>