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黑水县人力资源和社会保障局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信息平台建设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社保公共服务能力建设资金信息平台建设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绩效评价选用的是评价方法为比较法，经过收集资料、实地核实、调查统计等，比较绩效目标值和实际完成值，对比以前年度和当年年度项目实施情况等，并通过综合分析影响绩效目标实现、实施效果的内外因素，核定已完成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信息平台建设工作经费年度绩效目标。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二、评价结论及绩效分析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经对本项目评价指标评分，本项目综合得分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90分，评价等次为良好。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项目实施月份和计划月份相对一致，项目立项规范、目标合理、指标明确，项目绩效目标细化分解为具体的绩效指标，通过清晰、可衡量的指标予以体现。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年初结转资金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76.27万元，使用该项资金为乡镇和经办窗口单位采购办公设施设备共计70.64万元，为做好信息平台建设宣传，提高乡镇办事员和群众知晓度，制作宣传手册、横幅等花费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0.46万元，总共支出71.10万元，结余资金5.17万元，资金使用率94%。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项目完成率为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94%，达到预期完成目标90%以上，节约成本5.17万元，按序时进度支出，达到94%，公共服务满意度达到90%以上。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三、存在主要问题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尚未深入认识项目绩效管理工作，把其简单的认同为单纯的财务工作，在实际操作过程中缺乏与业务股室的沟通联系。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因作出的一个专项资金的绩效评价需一个较长的过程，项目绩效未能在一个会计年度得到很好的运用。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四、相关措施建议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分年度、分阶段定期不定期的开展绩效评价工作，充分运用绩效评价结果，根据项目的实际实施情况，适时调整运用。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加强绩效管理制度建设，完善绩效管理体系，建立全过程的预算绩效管理机制，促进绩效管理工作向广度和深度延伸。</w:t>
      </w:r>
    </w:p>
    <w:p>
      <w:pPr>
        <w:rPr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F0DBD"/>
    <w:rsid w:val="180B1784"/>
    <w:rsid w:val="442F0DBD"/>
    <w:rsid w:val="4C0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2021-08-03T09:40:00Z</dcterms:created>
  <dc:creator>crushfisan</dc:creator>
  <cp:lastModifiedBy>crushfisan</cp:lastModifiedBy>
  <cp:lastPrinted>2021-08-04T02:59:26Z</cp:lastPrinted>
  <dcterms:modified xsi:type="dcterms:W3CDTF">2021-08-04T02:59:30Z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9EAAC324B5BA49E3A04665C31C335453</vt:lpwstr>
  </property>
  <property fmtid="{D5CDD505-2E9C-101B-9397-08002B2CF9AE}" pid="4" name="KSOSaveFontToCloudKey">
    <vt:lpwstr>314466906_cloud</vt:lpwstr>
  </property>
</Properties>
</file>