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lang w:eastAsia="zh-CN"/>
        </w:rPr>
        <w:t>附件1-2：</w:t>
      </w:r>
    </w:p>
    <w:p>
      <w:pPr>
        <w:spacing w:line="600" w:lineRule="exact"/>
        <w:jc w:val="center"/>
        <w:outlineLvl w:val="0"/>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lang w:eastAsia="zh-CN"/>
        </w:rPr>
        <w:t>黑水县人力资源和社会保障局</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23</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keepNext w:val="0"/>
        <w:keepLines w:val="0"/>
        <w:pageBreakBefore w:val="0"/>
        <w:widowControl w:val="0"/>
        <w:kinsoku/>
        <w:wordWrap/>
        <w:overflowPunct/>
        <w:topLinePunct w:val="0"/>
        <w:autoSpaceDE/>
        <w:autoSpaceDN/>
        <w:bidi w:val="0"/>
        <w:adjustRightInd/>
        <w:spacing w:line="570" w:lineRule="exact"/>
        <w:ind w:left="0" w:leftChars="0" w:right="0" w:rightChars="0" w:firstLine="585"/>
        <w:jc w:val="both"/>
        <w:textAlignment w:val="auto"/>
        <w:outlineLvl w:val="9"/>
        <w:rPr>
          <w:rFonts w:hint="eastAsia" w:ascii="仿宋_GB2312" w:hAnsi="仿宋_GB2312" w:eastAsia="仿宋_GB2312" w:cs="仿宋_GB2312"/>
          <w:b w:val="0"/>
          <w:bCs/>
          <w:color w:val="000000"/>
          <w:kern w:val="2"/>
          <w:sz w:val="32"/>
          <w:szCs w:val="32"/>
          <w:lang w:val="zh-CN"/>
        </w:rPr>
      </w:pPr>
      <w:r>
        <w:rPr>
          <w:rFonts w:hint="eastAsia" w:ascii="仿宋_GB2312" w:hAnsi="仿宋_GB2312" w:eastAsia="仿宋_GB2312" w:cs="仿宋_GB2312"/>
          <w:b w:val="0"/>
          <w:bCs/>
          <w:color w:val="000000"/>
          <w:kern w:val="2"/>
          <w:sz w:val="32"/>
          <w:szCs w:val="32"/>
          <w:lang w:val="en-US" w:eastAsia="zh-CN"/>
        </w:rPr>
        <w:t>本</w:t>
      </w:r>
      <w:r>
        <w:rPr>
          <w:rFonts w:hint="eastAsia" w:ascii="仿宋_GB2312" w:hAnsi="仿宋_GB2312" w:eastAsia="仿宋_GB2312" w:cs="仿宋_GB2312"/>
          <w:b w:val="0"/>
          <w:bCs/>
          <w:color w:val="000000"/>
          <w:kern w:val="2"/>
          <w:sz w:val="32"/>
          <w:szCs w:val="32"/>
          <w:lang w:val="zh-CN"/>
        </w:rPr>
        <w:t>局下属二级预算单位</w:t>
      </w:r>
      <w:r>
        <w:rPr>
          <w:rFonts w:hint="eastAsia" w:ascii="仿宋_GB2312" w:hAnsi="仿宋_GB2312" w:eastAsia="仿宋_GB2312" w:cs="仿宋_GB2312"/>
          <w:b w:val="0"/>
          <w:bCs/>
          <w:color w:val="000000"/>
          <w:kern w:val="2"/>
          <w:sz w:val="32"/>
          <w:szCs w:val="32"/>
          <w:lang w:val="en-US" w:eastAsia="zh-CN"/>
        </w:rPr>
        <w:t>3</w:t>
      </w:r>
      <w:r>
        <w:rPr>
          <w:rFonts w:hint="eastAsia" w:ascii="仿宋_GB2312" w:hAnsi="仿宋_GB2312" w:eastAsia="仿宋_GB2312" w:cs="仿宋_GB2312"/>
          <w:b w:val="0"/>
          <w:bCs/>
          <w:color w:val="000000"/>
          <w:kern w:val="2"/>
          <w:sz w:val="32"/>
          <w:szCs w:val="32"/>
          <w:lang w:val="zh-CN"/>
        </w:rPr>
        <w:t>个，其中行政单位</w:t>
      </w:r>
      <w:r>
        <w:rPr>
          <w:rFonts w:hint="eastAsia" w:ascii="仿宋_GB2312" w:hAnsi="仿宋_GB2312" w:eastAsia="仿宋_GB2312" w:cs="仿宋_GB2312"/>
          <w:b w:val="0"/>
          <w:bCs/>
          <w:color w:val="000000"/>
          <w:kern w:val="2"/>
          <w:sz w:val="32"/>
          <w:szCs w:val="32"/>
          <w:lang w:val="en-US" w:eastAsia="zh-CN"/>
        </w:rPr>
        <w:t>0</w:t>
      </w:r>
      <w:r>
        <w:rPr>
          <w:rFonts w:hint="eastAsia" w:ascii="仿宋_GB2312" w:hAnsi="仿宋_GB2312" w:eastAsia="仿宋_GB2312" w:cs="仿宋_GB2312"/>
          <w:b w:val="0"/>
          <w:bCs/>
          <w:color w:val="000000"/>
          <w:kern w:val="2"/>
          <w:sz w:val="32"/>
          <w:szCs w:val="32"/>
          <w:lang w:val="zh-CN"/>
        </w:rPr>
        <w:t>个，参照公务员法管理的事业单位</w:t>
      </w:r>
      <w:r>
        <w:rPr>
          <w:rFonts w:hint="eastAsia" w:ascii="仿宋_GB2312" w:hAnsi="仿宋_GB2312" w:eastAsia="仿宋_GB2312" w:cs="仿宋_GB2312"/>
          <w:b w:val="0"/>
          <w:bCs/>
          <w:color w:val="000000"/>
          <w:kern w:val="2"/>
          <w:sz w:val="32"/>
          <w:szCs w:val="32"/>
          <w:lang w:val="en-US" w:eastAsia="zh-CN"/>
        </w:rPr>
        <w:t>2</w:t>
      </w:r>
      <w:r>
        <w:rPr>
          <w:rFonts w:hint="eastAsia" w:ascii="仿宋_GB2312" w:hAnsi="仿宋_GB2312" w:eastAsia="仿宋_GB2312" w:cs="仿宋_GB2312"/>
          <w:b w:val="0"/>
          <w:bCs/>
          <w:color w:val="000000"/>
          <w:kern w:val="2"/>
          <w:sz w:val="32"/>
          <w:szCs w:val="32"/>
          <w:lang w:val="zh-CN"/>
        </w:rPr>
        <w:t>个：就业局、社保局</w:t>
      </w:r>
      <w:r>
        <w:rPr>
          <w:rFonts w:hint="eastAsia" w:ascii="仿宋_GB2312" w:hAnsi="仿宋_GB2312" w:eastAsia="仿宋_GB2312" w:cs="仿宋_GB2312"/>
          <w:b w:val="0"/>
          <w:bCs/>
          <w:color w:val="000000"/>
          <w:kern w:val="2"/>
          <w:sz w:val="32"/>
          <w:szCs w:val="32"/>
          <w:lang w:val="en-US" w:eastAsia="zh-CN"/>
        </w:rPr>
        <w:t>,</w:t>
      </w:r>
      <w:r>
        <w:rPr>
          <w:rFonts w:hint="eastAsia" w:ascii="仿宋_GB2312" w:hAnsi="仿宋_GB2312" w:eastAsia="仿宋_GB2312" w:cs="仿宋_GB2312"/>
          <w:b w:val="0"/>
          <w:bCs/>
          <w:color w:val="000000"/>
          <w:kern w:val="2"/>
          <w:sz w:val="32"/>
          <w:szCs w:val="32"/>
          <w:lang w:val="zh-CN"/>
        </w:rPr>
        <w:t>其他事业单位</w:t>
      </w:r>
      <w:r>
        <w:rPr>
          <w:rFonts w:hint="eastAsia" w:ascii="仿宋_GB2312" w:hAnsi="仿宋_GB2312" w:eastAsia="仿宋_GB2312" w:cs="仿宋_GB2312"/>
          <w:b w:val="0"/>
          <w:bCs/>
          <w:color w:val="000000"/>
          <w:kern w:val="2"/>
          <w:sz w:val="32"/>
          <w:szCs w:val="32"/>
          <w:lang w:val="en-US" w:eastAsia="zh-CN"/>
        </w:rPr>
        <w:t>1</w:t>
      </w:r>
      <w:r>
        <w:rPr>
          <w:rFonts w:hint="eastAsia" w:ascii="仿宋_GB2312" w:hAnsi="仿宋_GB2312" w:eastAsia="仿宋_GB2312" w:cs="仿宋_GB2312"/>
          <w:b w:val="0"/>
          <w:bCs/>
          <w:color w:val="000000"/>
          <w:kern w:val="2"/>
          <w:sz w:val="32"/>
          <w:szCs w:val="32"/>
          <w:lang w:val="zh-CN"/>
        </w:rPr>
        <w:t>个：城乡居民养老保险事业管理局。</w:t>
      </w:r>
    </w:p>
    <w:p>
      <w:pPr>
        <w:keepNext w:val="0"/>
        <w:keepLines w:val="0"/>
        <w:pageBreakBefore w:val="0"/>
        <w:widowControl w:val="0"/>
        <w:kinsoku/>
        <w:wordWrap/>
        <w:overflowPunct/>
        <w:topLinePunct w:val="0"/>
        <w:autoSpaceDE/>
        <w:autoSpaceDN/>
        <w:bidi w:val="0"/>
        <w:adjustRightInd/>
        <w:spacing w:line="570" w:lineRule="exact"/>
        <w:ind w:left="0" w:leftChars="0" w:right="0" w:rightChars="0" w:firstLine="585"/>
        <w:jc w:val="both"/>
        <w:textAlignment w:val="auto"/>
        <w:outlineLvl w:val="9"/>
        <w:rPr>
          <w:rFonts w:hint="eastAsia" w:ascii="仿宋_GB2312" w:hAnsi="仿宋" w:eastAsia="仿宋_GB2312" w:cs="仿宋_GB2312"/>
          <w:sz w:val="32"/>
          <w:szCs w:val="32"/>
        </w:rPr>
      </w:pPr>
      <w:r>
        <w:rPr>
          <w:rFonts w:hint="eastAsia" w:ascii="仿宋_GB2312" w:hAnsi="仿宋_GB2312" w:eastAsia="仿宋_GB2312" w:cs="仿宋_GB2312"/>
          <w:b w:val="0"/>
          <w:bCs/>
          <w:color w:val="000000"/>
          <w:kern w:val="2"/>
          <w:sz w:val="32"/>
          <w:szCs w:val="32"/>
          <w:lang w:val="en-US" w:eastAsia="zh-CN"/>
        </w:rPr>
        <w:t>本局内设预算单位1个。人社局直属机构有：办公室、社会保障综合股、专业技术股、工资福利与退休股、社会保险基金监督股、劳动监察大队（参公）、信息中心(事业）、仲裁院（事业)。</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keepNext w:val="0"/>
        <w:keepLines w:val="0"/>
        <w:pageBreakBefore w:val="0"/>
        <w:widowControl w:val="0"/>
        <w:kinsoku/>
        <w:wordWrap/>
        <w:overflowPunct/>
        <w:topLinePunct w:val="0"/>
        <w:bidi w:val="0"/>
        <w:spacing w:line="57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本单位是政府组成部门。根据县委、县政府关于</w:t>
      </w:r>
      <w:r>
        <w:rPr>
          <w:rFonts w:hint="eastAsia" w:ascii="仿宋_GB2312" w:hAnsi="仿宋_GB2312" w:eastAsia="仿宋_GB2312" w:cs="仿宋_GB2312"/>
          <w:color w:val="auto"/>
          <w:sz w:val="32"/>
          <w:szCs w:val="32"/>
          <w:lang w:val="en-US" w:eastAsia="zh-CN"/>
        </w:rPr>
        <w:t>2023</w:t>
      </w:r>
      <w:r>
        <w:rPr>
          <w:rFonts w:hint="eastAsia" w:ascii="仿宋_GB2312" w:hAnsi="仿宋_GB2312" w:eastAsia="仿宋_GB2312" w:cs="仿宋_GB2312"/>
          <w:color w:val="auto"/>
          <w:sz w:val="32"/>
          <w:szCs w:val="32"/>
        </w:rPr>
        <w:t>年全县工作的总体部署，</w:t>
      </w:r>
      <w:r>
        <w:rPr>
          <w:rFonts w:hint="eastAsia" w:ascii="仿宋_GB2312" w:hAnsi="仿宋_GB2312" w:eastAsia="仿宋_GB2312" w:cs="仿宋_GB2312"/>
          <w:color w:val="auto"/>
          <w:sz w:val="32"/>
          <w:szCs w:val="32"/>
          <w:lang w:val="en-US" w:eastAsia="zh-CN"/>
        </w:rPr>
        <w:t>2023</w:t>
      </w:r>
      <w:r>
        <w:rPr>
          <w:rFonts w:hint="eastAsia" w:ascii="仿宋_GB2312" w:hAnsi="仿宋_GB2312" w:eastAsia="仿宋_GB2312" w:cs="仿宋_GB2312"/>
          <w:color w:val="auto"/>
          <w:sz w:val="32"/>
          <w:szCs w:val="32"/>
        </w:rPr>
        <w:t>年主要工作是:</w:t>
      </w:r>
    </w:p>
    <w:p>
      <w:pPr>
        <w:keepNext w:val="0"/>
        <w:keepLines w:val="0"/>
        <w:pageBreakBefore w:val="0"/>
        <w:widowControl w:val="0"/>
        <w:kinsoku/>
        <w:wordWrap/>
        <w:overflowPunct/>
        <w:topLinePunct w:val="0"/>
        <w:bidi w:val="0"/>
        <w:spacing w:line="57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贯彻执行国家、省、州人力资源和社会保障工作的相关法律、法规、规章和政策，起草人力资源和社会保障社会事业规范性文件，拟定全县人力资源和社会保障事业发展规划、政策并组织实施和监督检查。</w:t>
      </w:r>
    </w:p>
    <w:p>
      <w:pPr>
        <w:keepNext w:val="0"/>
        <w:keepLines w:val="0"/>
        <w:pageBreakBefore w:val="0"/>
        <w:widowControl w:val="0"/>
        <w:kinsoku/>
        <w:wordWrap/>
        <w:overflowPunct/>
        <w:topLinePunct w:val="0"/>
        <w:bidi w:val="0"/>
        <w:spacing w:line="57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）拟订并组织实施人力资源市场发展规划，管理人力资源和社会保障公共服务机构，建立全县统一规范的人力资源市场，促进人力资源合理流动、有效配置。</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负责促进就业工作。拟订统筹城乡就业发展规划、政策和措施，完善公共就业服务体系；拟订并组织落实创业、就业援助制度和实施再就业工程；完善职业资格制度，拟定职业介绍机构的管理办法并组织实施，统筹建立面向城乡劳动者的职业培训制度，牵头拟订和贯彻落实大、中专毕业生就业政策，会同有关部门拟订高技能人才、农村实用人才培养和激励政策。</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统筹建立覆盖城乡的社会保障体系。贯彻落实全国、全省、全州统一的社会保险关系转续办法；拟定全县社会保险基金收缴、支付、管理、运营的办法；拟定全县社会保险经办机构的管理规则，编制全县社会保险基金预决算草案。拟定全县社会保险服务体系建设规划并组织实施。</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）负责就业、失业、社会保险基金预测预警和信息引导，拟订应对预案，实施预防、调节和控制，保持就业形势稳定和社会保险基金总体收支平衡。</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综合管理全县机关企事业单位的工资福利工作，；参与体制改革、人事制度改革中涉及机关企事业单位职工工资、福利等问题的政策研究。会同有关部门拟订和实施机关、事业单位人员工资收入分配政策；建立机关事业单位人员工资正常增长和支付保障机制，执行机关事业单位人员福利和有关离退休、退职政策。</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会同有关部门指导和实施事业单位人事制度改革，拟订事业单位人员和机关工勤人员管理政策，参与人才管理工作；综合管理全县专业技术人员和专业技术队伍建设工作，执行专业技术人员管理和继续教育政策；牵头推进深化职称制度改革，归口管理全县专业技术人员职称及工勤人员技术等级工作，完善专业技术职务聘任制度和专业技术资格考试制度，推行专业技术执业资格制度；组织实施事业单位岗位设置管理工作，推行事业单位聘用制管理，办理机关、事业单位聘用人员合同鉴证手续。</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）会同有关部门拟订劳务开发及农民工工作综合性政策和规划并推动相关政策的落实，协调解决重点难点问题，维护农民工合法权益。</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统筹拟订劳动、人事争议调解仲裁制度和劳动关系政策并组织和监督实施，完善劳动关系协调机制，贯彻企业职工工作时间、休息休假制度、消除非法使用童工政策和女工、未成年工的特殊劳动保护政策，组织实施劳动监察，协调劳动者维权工作，依法查处重大案件。</w:t>
      </w:r>
    </w:p>
    <w:p>
      <w:pPr>
        <w:keepNext w:val="0"/>
        <w:keepLines w:val="0"/>
        <w:pageBreakBefore w:val="0"/>
        <w:widowControl w:val="0"/>
        <w:kinsoku/>
        <w:wordWrap/>
        <w:overflowPunct/>
        <w:topLinePunct w:val="0"/>
        <w:bidi w:val="0"/>
        <w:spacing w:line="570" w:lineRule="exact"/>
        <w:ind w:left="0" w:leftChars="0" w:right="0" w:rightChars="0" w:firstLine="63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）承担县政府公布的有关行政审批事项。</w:t>
      </w:r>
    </w:p>
    <w:p>
      <w:pPr>
        <w:keepNext w:val="0"/>
        <w:keepLines w:val="0"/>
        <w:pageBreakBefore w:val="0"/>
        <w:widowControl w:val="0"/>
        <w:kinsoku/>
        <w:wordWrap/>
        <w:overflowPunct/>
        <w:topLinePunct w:val="0"/>
        <w:bidi w:val="0"/>
        <w:spacing w:line="570" w:lineRule="exact"/>
        <w:ind w:left="0" w:leftChars="0" w:right="0" w:rightChars="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）承办县政府交办的其他事项。</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keepNext w:val="0"/>
        <w:keepLines w:val="0"/>
        <w:pageBreakBefore w:val="0"/>
        <w:widowControl w:val="0"/>
        <w:numPr>
          <w:ilvl w:val="0"/>
          <w:numId w:val="0"/>
        </w:numPr>
        <w:kinsoku/>
        <w:wordWrap/>
        <w:overflowPunct/>
        <w:topLinePunct w:val="0"/>
        <w:bidi w:val="0"/>
        <w:snapToGrid w:val="0"/>
        <w:spacing w:line="570" w:lineRule="exact"/>
        <w:textAlignment w:val="auto"/>
        <w:outlineLvl w:val="9"/>
      </w:pPr>
      <w:r>
        <w:rPr>
          <w:rFonts w:hint="eastAsia" w:ascii="仿宋_GB2312" w:hAnsi="仿宋" w:eastAsia="仿宋_GB2312"/>
          <w:sz w:val="32"/>
          <w:szCs w:val="32"/>
          <w:lang w:val="en-US" w:eastAsia="zh-CN"/>
        </w:rPr>
        <w:t xml:space="preserve"> 本局</w:t>
      </w:r>
      <w:r>
        <w:rPr>
          <w:rFonts w:hint="eastAsia" w:ascii="仿宋_GB2312" w:hAnsi="仿宋_GB2312" w:eastAsia="仿宋_GB2312" w:cs="仿宋_GB2312"/>
          <w:color w:val="auto"/>
          <w:sz w:val="32"/>
          <w:szCs w:val="32"/>
        </w:rPr>
        <w:t>总编制</w:t>
      </w: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rPr>
        <w:t>名，其中：行政编制</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名，参公编制</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名，事业编制</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名，工勤编制</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名；在职人员总数</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人，其中行政人员</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人，参公人员</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人，事业人员</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人；退休人员</w:t>
      </w: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人员实有人数较上年无变化</w:t>
      </w:r>
      <w:r>
        <w:rPr>
          <w:rFonts w:hint="eastAsia" w:ascii="仿宋_GB2312" w:hAnsi="仿宋_GB2312" w:eastAsia="仿宋_GB2312" w:cs="仿宋_GB2312"/>
          <w:color w:val="auto"/>
          <w:sz w:val="32"/>
          <w:szCs w:val="32"/>
          <w:lang w:val="en-US" w:eastAsia="zh-CN"/>
        </w:rPr>
        <w:t>，主要因为人员调动增加减少。</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（一）部门财政资金收入情况。社会保障和就业支出</w:t>
      </w:r>
      <w:r>
        <w:rPr>
          <w:rFonts w:hint="eastAsia" w:ascii="仿宋_GB2312" w:hAnsi="仿宋" w:eastAsia="仿宋_GB2312" w:cs="仿宋_GB2312"/>
          <w:sz w:val="32"/>
          <w:szCs w:val="32"/>
          <w:lang w:val="en-US" w:eastAsia="zh-CN"/>
        </w:rPr>
        <w:t>136.1</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88.40</w:t>
      </w:r>
      <w:r>
        <w:rPr>
          <w:rFonts w:hint="eastAsia" w:ascii="仿宋_GB2312" w:hAnsi="仿宋" w:eastAsia="仿宋_GB2312" w:cs="仿宋_GB2312"/>
          <w:sz w:val="32"/>
          <w:szCs w:val="32"/>
        </w:rPr>
        <w:t>%；医疗卫生与计划生育支出</w:t>
      </w:r>
      <w:r>
        <w:rPr>
          <w:rFonts w:hint="eastAsia" w:ascii="仿宋_GB2312" w:hAnsi="仿宋" w:eastAsia="仿宋_GB2312" w:cs="仿宋_GB2312"/>
          <w:sz w:val="32"/>
          <w:szCs w:val="32"/>
          <w:lang w:val="en-US" w:eastAsia="zh-CN"/>
        </w:rPr>
        <w:t>8.02</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5.21</w:t>
      </w:r>
      <w:r>
        <w:rPr>
          <w:rFonts w:hint="eastAsia" w:ascii="仿宋_GB2312" w:hAnsi="仿宋" w:eastAsia="仿宋_GB2312" w:cs="仿宋_GB2312"/>
          <w:sz w:val="32"/>
          <w:szCs w:val="32"/>
        </w:rPr>
        <w:t>%；住房保障支出</w:t>
      </w:r>
      <w:r>
        <w:rPr>
          <w:rFonts w:hint="eastAsia" w:ascii="仿宋_GB2312" w:hAnsi="仿宋" w:eastAsia="仿宋_GB2312" w:cs="仿宋_GB2312"/>
          <w:sz w:val="32"/>
          <w:szCs w:val="32"/>
          <w:lang w:val="en-US" w:eastAsia="zh-CN"/>
        </w:rPr>
        <w:t>9.84</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6.39</w:t>
      </w:r>
      <w:r>
        <w:rPr>
          <w:rFonts w:hint="eastAsia" w:ascii="仿宋_GB2312" w:hAnsi="仿宋" w:eastAsia="仿宋_GB2312" w:cs="仿宋_GB2312"/>
          <w:sz w:val="32"/>
          <w:szCs w:val="32"/>
        </w:rPr>
        <w:t>%</w:t>
      </w:r>
      <w:r>
        <w:rPr>
          <w:rFonts w:hint="eastAsia" w:ascii="仿宋_GB2312" w:hAnsi="仿宋" w:eastAsia="仿宋_GB2312"/>
          <w:color w:val="000000" w:themeColor="text1"/>
          <w:sz w:val="32"/>
          <w:szCs w:val="32"/>
          <w:shd w:val="clear" w:color="auto" w:fill="auto"/>
          <w14:textFill>
            <w14:solidFill>
              <w14:schemeClr w14:val="tx1"/>
            </w14:solidFill>
          </w14:textFill>
        </w:rPr>
        <w:t>。</w:t>
      </w:r>
    </w:p>
    <w:p>
      <w:pPr>
        <w:keepNext w:val="0"/>
        <w:keepLines w:val="0"/>
        <w:pageBreakBefore w:val="0"/>
        <w:widowControl w:val="0"/>
        <w:kinsoku/>
        <w:wordWrap/>
        <w:overflowPunct/>
        <w:topLinePunct w:val="0"/>
        <w:bidi w:val="0"/>
        <w:snapToGrid/>
        <w:spacing w:line="570" w:lineRule="exact"/>
        <w:ind w:firstLine="640" w:firstLineChars="200"/>
        <w:textAlignment w:val="auto"/>
      </w:pPr>
      <w:r>
        <w:rPr>
          <w:rFonts w:hint="eastAsia" w:ascii="仿宋_GB2312" w:hAnsi="仿宋_GB2312" w:eastAsia="仿宋_GB2312" w:cs="仿宋_GB2312"/>
          <w:color w:val="auto"/>
          <w:kern w:val="0"/>
          <w:sz w:val="32"/>
          <w:szCs w:val="32"/>
          <w:lang w:val="en-US" w:eastAsia="zh-CN"/>
        </w:rPr>
        <w:t>本单位2023年全年预算总收入153.66万元，其中：社会保障和就业支出136.1万元，占总收入88.40%，较上年下降20.05%；卫生健康支出8.02万元，占总收入5.21%，较上年下降5.43%，；住房保障支出9.84万元，占总收入6.39%，较上年下降18.61%。</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keepNext w:val="0"/>
        <w:keepLines w:val="0"/>
        <w:pageBreakBefore w:val="0"/>
        <w:widowControl w:val="0"/>
        <w:kinsoku/>
        <w:wordWrap/>
        <w:overflowPunct/>
        <w:topLinePunct w:val="0"/>
        <w:bidi w:val="0"/>
        <w:snapToGrid/>
        <w:spacing w:line="570" w:lineRule="exact"/>
        <w:ind w:firstLine="640" w:firstLineChars="200"/>
        <w:textAlignment w:val="auto"/>
      </w:pPr>
      <w:r>
        <w:rPr>
          <w:rFonts w:hint="eastAsia" w:ascii="仿宋_GB2312" w:hAnsi="仿宋_GB2312" w:eastAsia="仿宋_GB2312" w:cs="仿宋_GB2312"/>
          <w:color w:val="auto"/>
          <w:kern w:val="0"/>
          <w:sz w:val="32"/>
          <w:szCs w:val="32"/>
          <w:lang w:val="en-US" w:eastAsia="zh-CN"/>
        </w:rPr>
        <w:t>本单位2023年全年总支出153.66万元，其中：基本支出153.66万元，占总支出的100%，其中：人员经费支出137.35万元、日常公用经费支出16.61万元。</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keepNext w:val="0"/>
        <w:keepLines w:val="0"/>
        <w:pageBreakBefore w:val="0"/>
        <w:widowControl w:val="0"/>
        <w:kinsoku/>
        <w:wordWrap/>
        <w:overflowPunct/>
        <w:topLinePunct w:val="0"/>
        <w:bidi w:val="0"/>
        <w:snapToGrid/>
        <w:spacing w:line="570" w:lineRule="exact"/>
        <w:ind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2023</w:t>
      </w:r>
      <w:r>
        <w:rPr>
          <w:rFonts w:hint="eastAsia" w:ascii="仿宋_GB2312" w:hAnsi="仿宋_GB2312" w:eastAsia="仿宋_GB2312" w:cs="仿宋_GB2312"/>
          <w:color w:val="auto"/>
          <w:kern w:val="0"/>
          <w:sz w:val="32"/>
          <w:szCs w:val="32"/>
          <w:lang w:val="zh-CN" w:eastAsia="zh-CN"/>
        </w:rPr>
        <w:t>年我局严格按照财政局下发的文件要求进行预</w:t>
      </w:r>
      <w:r>
        <w:rPr>
          <w:rFonts w:hint="eastAsia" w:ascii="仿宋_GB2312" w:hAnsi="仿宋_GB2312" w:eastAsia="仿宋_GB2312" w:cs="仿宋_GB2312"/>
          <w:color w:val="auto"/>
          <w:kern w:val="0"/>
          <w:sz w:val="32"/>
          <w:szCs w:val="32"/>
          <w:lang w:val="en-US" w:eastAsia="zh-CN"/>
        </w:rPr>
        <w:t>决</w:t>
      </w:r>
      <w:r>
        <w:rPr>
          <w:rFonts w:hint="eastAsia" w:ascii="仿宋_GB2312" w:hAnsi="仿宋_GB2312" w:eastAsia="仿宋_GB2312" w:cs="仿宋_GB2312"/>
          <w:color w:val="auto"/>
          <w:kern w:val="0"/>
          <w:sz w:val="32"/>
          <w:szCs w:val="32"/>
          <w:lang w:val="zh-CN" w:eastAsia="zh-CN"/>
        </w:rPr>
        <w:t>算编制工作，</w:t>
      </w:r>
      <w:r>
        <w:rPr>
          <w:rFonts w:hint="eastAsia" w:ascii="仿宋_GB2312" w:hAnsi="仿宋_GB2312" w:eastAsia="仿宋_GB2312" w:cs="仿宋_GB2312"/>
          <w:color w:val="auto"/>
          <w:kern w:val="0"/>
          <w:sz w:val="32"/>
          <w:szCs w:val="32"/>
          <w:lang w:val="en-US" w:eastAsia="zh-CN"/>
        </w:rPr>
        <w:t>并及时进行2023年预算、2022年决算情况政务公开，无违规情况。</w:t>
      </w:r>
    </w:p>
    <w:p>
      <w:pPr>
        <w:spacing w:line="580" w:lineRule="exact"/>
        <w:ind w:firstLine="640" w:firstLineChars="200"/>
        <w:rPr>
          <w:rFonts w:ascii="仿宋_GB2312" w:hAnsi="仿宋" w:eastAsia="仿宋_GB2312" w:cs="仿宋_GB2312"/>
          <w:sz w:val="32"/>
          <w:szCs w:val="32"/>
        </w:rPr>
      </w:pPr>
      <w:r>
        <w:rPr>
          <w:rFonts w:hint="eastAsia" w:ascii="仿宋_GB2312" w:hAnsi="仿宋_GB2312" w:eastAsia="仿宋_GB2312" w:cs="仿宋_GB2312"/>
          <w:color w:val="auto"/>
          <w:kern w:val="0"/>
          <w:sz w:val="32"/>
          <w:szCs w:val="32"/>
          <w:lang w:val="zh-CN" w:eastAsia="zh-CN"/>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keepNext w:val="0"/>
        <w:keepLines w:val="0"/>
        <w:pageBreakBefore w:val="0"/>
        <w:widowControl w:val="0"/>
        <w:kinsoku/>
        <w:wordWrap/>
        <w:overflowPunct/>
        <w:topLinePunct w:val="0"/>
        <w:bidi w:val="0"/>
        <w:snapToGrid/>
        <w:spacing w:line="570" w:lineRule="exact"/>
        <w:ind w:firstLine="640" w:firstLineChars="200"/>
        <w:textAlignment w:val="auto"/>
        <w:rPr>
          <w:rFonts w:hint="eastAsia" w:ascii="仿宋_GB2312" w:hAnsi="仿宋_GB2312" w:eastAsia="仿宋_GB2312" w:cs="仿宋_GB2312"/>
          <w:color w:val="auto"/>
          <w:kern w:val="0"/>
          <w:sz w:val="32"/>
          <w:szCs w:val="32"/>
          <w:lang w:val="zh-CN" w:eastAsia="zh-CN"/>
        </w:rPr>
      </w:pPr>
      <w:r>
        <w:rPr>
          <w:rFonts w:hint="eastAsia" w:ascii="仿宋_GB2312" w:hAnsi="仿宋_GB2312" w:eastAsia="仿宋_GB2312" w:cs="仿宋_GB2312"/>
          <w:color w:val="auto"/>
          <w:kern w:val="0"/>
          <w:sz w:val="32"/>
          <w:szCs w:val="32"/>
          <w:lang w:val="zh-CN" w:eastAsia="zh-CN"/>
        </w:rPr>
        <w:t>我局</w:t>
      </w:r>
      <w:r>
        <w:rPr>
          <w:rFonts w:hint="eastAsia" w:ascii="仿宋_GB2312" w:hAnsi="仿宋_GB2312" w:eastAsia="仿宋_GB2312" w:cs="仿宋_GB2312"/>
          <w:color w:val="auto"/>
          <w:kern w:val="0"/>
          <w:sz w:val="32"/>
          <w:szCs w:val="32"/>
          <w:lang w:val="en-US" w:eastAsia="zh-CN"/>
        </w:rPr>
        <w:t>正确把握专项资金的使用范围，</w:t>
      </w:r>
      <w:r>
        <w:rPr>
          <w:rFonts w:hint="eastAsia" w:ascii="仿宋_GB2312" w:hAnsi="仿宋_GB2312" w:eastAsia="仿宋_GB2312" w:cs="仿宋_GB2312"/>
          <w:color w:val="auto"/>
          <w:kern w:val="0"/>
          <w:sz w:val="32"/>
          <w:szCs w:val="32"/>
          <w:lang w:val="zh-CN" w:eastAsia="zh-CN"/>
        </w:rPr>
        <w:t>专项资金的使用严格按照资金拨付程序、年度项目计划和项目进度进行拨付，实行专账核算，严格遵守财务内审和监督制度和审批程序办理专项资金的申报、分配和拨付。</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结果应用情况。</w:t>
      </w:r>
    </w:p>
    <w:p>
      <w:pPr>
        <w:keepNext w:val="0"/>
        <w:keepLines w:val="0"/>
        <w:pageBreakBefore w:val="0"/>
        <w:widowControl w:val="0"/>
        <w:kinsoku/>
        <w:wordWrap/>
        <w:overflowPunct/>
        <w:topLinePunct w:val="0"/>
        <w:bidi w:val="0"/>
        <w:snapToGrid/>
        <w:spacing w:line="570" w:lineRule="exact"/>
        <w:ind w:firstLine="640" w:firstLineChars="200"/>
        <w:textAlignment w:val="auto"/>
      </w:pPr>
      <w:r>
        <w:rPr>
          <w:rFonts w:hint="eastAsia" w:ascii="仿宋_GB2312" w:hAnsi="仿宋_GB2312" w:eastAsia="仿宋_GB2312" w:cs="仿宋_GB2312"/>
          <w:color w:val="auto"/>
          <w:kern w:val="0"/>
          <w:sz w:val="32"/>
          <w:szCs w:val="32"/>
          <w:lang w:val="en-US" w:eastAsia="zh-CN"/>
        </w:rPr>
        <w:t>根据部门整体支出绩效评价指标体系，我局2023年度自评综合得分88分，部门整体支出绩效情况良好，职工满意度较好。</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widowControl w:val="0"/>
        <w:kinsoku/>
        <w:wordWrap/>
        <w:overflowPunct/>
        <w:topLinePunct w:val="0"/>
        <w:autoSpaceDE w:val="0"/>
        <w:autoSpaceDN w:val="0"/>
        <w:bidi w:val="0"/>
        <w:adjustRightInd w:val="0"/>
        <w:snapToGrid/>
        <w:spacing w:line="570" w:lineRule="exact"/>
        <w:ind w:left="0" w:leftChars="0" w:right="0" w:rightChars="0" w:firstLine="640" w:firstLineChars="200"/>
        <w:jc w:val="left"/>
        <w:textAlignment w:val="auto"/>
      </w:pPr>
      <w:r>
        <w:rPr>
          <w:rFonts w:hint="eastAsia" w:ascii="仿宋_GB2312" w:hAnsi="仿宋_GB2312" w:eastAsia="仿宋_GB2312" w:cs="仿宋_GB2312"/>
          <w:color w:val="auto"/>
          <w:kern w:val="0"/>
          <w:sz w:val="32"/>
          <w:szCs w:val="32"/>
          <w:lang w:val="en-US" w:eastAsia="zh-CN"/>
        </w:rPr>
        <w:t>2023年，我局切实加强预算收支资金管理，完善健全内部管理制度，针对本年度单位财务绩效采用多种评价方法，如比较分析、趋势分析、财务模型等进行财务数据的分析整理，以获得更全面、准确的评价结果。</w:t>
      </w:r>
      <w:r>
        <w:rPr>
          <w:rFonts w:hint="eastAsia" w:ascii="仿宋_GB2312" w:hAnsi="仿宋_GB2312" w:eastAsia="仿宋_GB2312" w:cs="仿宋_GB2312"/>
          <w:color w:val="auto"/>
          <w:kern w:val="0"/>
          <w:sz w:val="32"/>
          <w:szCs w:val="32"/>
          <w:lang w:val="zh-CN" w:eastAsia="zh-CN"/>
        </w:rPr>
        <w:t>在总结</w:t>
      </w:r>
      <w:r>
        <w:rPr>
          <w:rFonts w:hint="eastAsia" w:ascii="仿宋_GB2312" w:hAnsi="仿宋_GB2312" w:eastAsia="仿宋_GB2312" w:cs="仿宋_GB2312"/>
          <w:color w:val="auto"/>
          <w:kern w:val="0"/>
          <w:sz w:val="32"/>
          <w:szCs w:val="32"/>
          <w:lang w:val="en-US" w:eastAsia="zh-CN"/>
        </w:rPr>
        <w:t>2023</w:t>
      </w:r>
      <w:r>
        <w:rPr>
          <w:rFonts w:hint="eastAsia" w:ascii="仿宋_GB2312" w:hAnsi="仿宋_GB2312" w:eastAsia="仿宋_GB2312" w:cs="仿宋_GB2312"/>
          <w:color w:val="auto"/>
          <w:kern w:val="0"/>
          <w:sz w:val="32"/>
          <w:szCs w:val="32"/>
          <w:lang w:val="zh-CN" w:eastAsia="zh-CN"/>
        </w:rPr>
        <w:t>年</w:t>
      </w:r>
      <w:r>
        <w:rPr>
          <w:rFonts w:hint="eastAsia" w:ascii="仿宋_GB2312" w:hAnsi="仿宋_GB2312" w:eastAsia="仿宋_GB2312" w:cs="仿宋_GB2312"/>
          <w:color w:val="auto"/>
          <w:kern w:val="0"/>
          <w:sz w:val="32"/>
          <w:szCs w:val="32"/>
          <w:lang w:val="en-US" w:eastAsia="zh-CN"/>
        </w:rPr>
        <w:t>全年</w:t>
      </w:r>
      <w:r>
        <w:rPr>
          <w:rFonts w:hint="eastAsia" w:ascii="仿宋_GB2312" w:hAnsi="仿宋_GB2312" w:eastAsia="仿宋_GB2312" w:cs="仿宋_GB2312"/>
          <w:color w:val="auto"/>
          <w:kern w:val="0"/>
          <w:sz w:val="32"/>
          <w:szCs w:val="32"/>
          <w:lang w:val="zh-CN" w:eastAsia="zh-CN"/>
        </w:rPr>
        <w:t>工作经验基础上改进工作的方式方法，做好工作创新，保证我局</w:t>
      </w:r>
      <w:r>
        <w:rPr>
          <w:rFonts w:hint="eastAsia" w:ascii="仿宋_GB2312" w:hAnsi="仿宋_GB2312" w:eastAsia="仿宋_GB2312" w:cs="仿宋_GB2312"/>
          <w:color w:val="auto"/>
          <w:kern w:val="0"/>
          <w:sz w:val="32"/>
          <w:szCs w:val="32"/>
          <w:lang w:val="en-US" w:eastAsia="zh-CN"/>
        </w:rPr>
        <w:t>2024年</w:t>
      </w:r>
      <w:r>
        <w:rPr>
          <w:rFonts w:hint="eastAsia" w:ascii="仿宋_GB2312" w:hAnsi="仿宋_GB2312" w:eastAsia="仿宋_GB2312" w:cs="仿宋_GB2312"/>
          <w:color w:val="auto"/>
          <w:kern w:val="0"/>
          <w:sz w:val="32"/>
          <w:szCs w:val="32"/>
          <w:lang w:val="zh-CN" w:eastAsia="zh-CN"/>
        </w:rPr>
        <w:t>各项工作能够顺利开展。</w:t>
      </w: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keepNext w:val="0"/>
        <w:keepLines w:val="0"/>
        <w:pageBreakBefore w:val="0"/>
        <w:widowControl w:val="0"/>
        <w:kinsoku/>
        <w:wordWrap/>
        <w:overflowPunct/>
        <w:topLinePunct w:val="0"/>
        <w:autoSpaceDE w:val="0"/>
        <w:autoSpaceDN w:val="0"/>
        <w:bidi w:val="0"/>
        <w:adjustRightInd w:val="0"/>
        <w:snapToGrid/>
        <w:spacing w:line="570" w:lineRule="exact"/>
        <w:ind w:left="0" w:leftChars="0" w:right="0" w:rightChars="0" w:firstLine="640" w:firstLineChars="200"/>
        <w:jc w:val="left"/>
        <w:textAlignment w:val="auto"/>
      </w:pPr>
      <w:r>
        <w:rPr>
          <w:rFonts w:hint="eastAsia" w:ascii="仿宋_GB2312" w:hAnsi="仿宋_GB2312" w:eastAsia="仿宋_GB2312" w:cs="仿宋_GB2312"/>
          <w:color w:val="auto"/>
          <w:kern w:val="0"/>
          <w:sz w:val="32"/>
          <w:szCs w:val="32"/>
          <w:lang w:val="en-US" w:eastAsia="zh-CN"/>
        </w:rPr>
        <w:t>2023年对于部门财政整体绩效评价工作，我局严格按照财政部门的要求开展相关工作。但还存在一定的问题</w:t>
      </w:r>
      <w:r>
        <w:rPr>
          <w:rFonts w:hint="eastAsia" w:ascii="仿宋_GB2312" w:hAnsi="仿宋_GB2312" w:eastAsia="仿宋_GB2312" w:cs="仿宋_GB2312"/>
          <w:b w:val="0"/>
          <w:bCs w:val="0"/>
          <w:color w:val="auto"/>
          <w:kern w:val="0"/>
          <w:sz w:val="32"/>
          <w:szCs w:val="32"/>
          <w:lang w:val="en-US" w:eastAsia="zh-CN"/>
        </w:rPr>
        <w:t>：一是从绩效评价看，部门支出预算和绩效评价工作还存在部分项目无法用量化指标来进行考评的问题；二是财务绩效评价认识不到位，抓不住关键的绩效评价点，难以发挥财务绩效评价的积极作用</w:t>
      </w:r>
      <w:r>
        <w:rPr>
          <w:rFonts w:hint="eastAsia" w:ascii="仿宋_GB2312" w:hAnsi="仿宋_GB2312" w:eastAsia="仿宋_GB2312" w:cs="仿宋_GB2312"/>
          <w:color w:val="auto"/>
          <w:kern w:val="0"/>
          <w:sz w:val="32"/>
          <w:szCs w:val="32"/>
          <w:lang w:val="en-US" w:eastAsia="zh-CN"/>
        </w:rPr>
        <w:t>。</w:t>
      </w:r>
    </w:p>
    <w:p>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pPr>
        <w:keepNext w:val="0"/>
        <w:keepLines w:val="0"/>
        <w:pageBreakBefore w:val="0"/>
        <w:widowControl w:val="0"/>
        <w:kinsoku/>
        <w:wordWrap/>
        <w:overflowPunct/>
        <w:topLinePunct w:val="0"/>
        <w:autoSpaceDE w:val="0"/>
        <w:autoSpaceDN w:val="0"/>
        <w:bidi w:val="0"/>
        <w:adjustRightInd w:val="0"/>
        <w:snapToGrid/>
        <w:spacing w:line="570" w:lineRule="exact"/>
        <w:ind w:left="0" w:leftChars="0" w:right="0" w:rightChars="0"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一是加大财务绩效的理论培训，建议县委县</w:t>
      </w:r>
      <w:bookmarkStart w:id="1" w:name="_GoBack"/>
      <w:bookmarkEnd w:id="1"/>
      <w:r>
        <w:rPr>
          <w:rFonts w:hint="eastAsia" w:ascii="仿宋_GB2312" w:hAnsi="仿宋_GB2312" w:eastAsia="仿宋_GB2312" w:cs="仿宋_GB2312"/>
          <w:b w:val="0"/>
          <w:bCs w:val="0"/>
          <w:color w:val="auto"/>
          <w:kern w:val="0"/>
          <w:sz w:val="32"/>
          <w:szCs w:val="32"/>
          <w:lang w:val="en-US" w:eastAsia="zh-CN"/>
        </w:rPr>
        <w:t>政府及财政部门负责组织全县单位负责人和财务人员的绩效培训，同时加强对各单位具体工作人员理论知识及实际操作流程的培训。二是建议加强对绩效评价工作的培训和指导，进一步优化项目绩效考核指标体系。</w:t>
      </w:r>
    </w:p>
    <w:p>
      <w:pPr>
        <w:pStyle w:val="2"/>
        <w:numPr>
          <w:ilvl w:val="0"/>
          <w:numId w:val="0"/>
        </w:numPr>
        <w:rPr>
          <w:sz w:val="32"/>
          <w:szCs w:val="32"/>
        </w:rPr>
      </w:pPr>
    </w:p>
    <w:p>
      <w:pPr>
        <w:pStyle w:val="2"/>
        <w:numPr>
          <w:ilvl w:val="0"/>
          <w:numId w:val="0"/>
        </w:numPr>
        <w:rPr>
          <w:sz w:val="32"/>
          <w:szCs w:val="32"/>
        </w:rPr>
      </w:pPr>
    </w:p>
    <w:p>
      <w:pPr>
        <w:pStyle w:val="2"/>
        <w:numPr>
          <w:ilvl w:val="0"/>
          <w:numId w:val="0"/>
        </w:numPr>
        <w:rPr>
          <w:sz w:val="32"/>
          <w:szCs w:val="32"/>
        </w:rPr>
      </w:pPr>
    </w:p>
    <w:p>
      <w:pPr>
        <w:jc w:val="righ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黑水县人力资源和社会保障局</w:t>
      </w:r>
    </w:p>
    <w:p>
      <w:pPr>
        <w:pStyle w:val="5"/>
        <w:jc w:val="center"/>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 xml:space="preserve">                            2024年8月30日</w:t>
      </w:r>
    </w:p>
    <w:p>
      <w:pPr>
        <w:pStyle w:val="2"/>
        <w:numPr>
          <w:ilvl w:val="0"/>
          <w:numId w:val="0"/>
        </w:num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5DF308"/>
    <w:multiLevelType w:val="singleLevel"/>
    <w:tmpl w:val="475DF308"/>
    <w:lvl w:ilvl="0" w:tentative="0">
      <w:start w:val="2"/>
      <w:numFmt w:val="chineseCounting"/>
      <w:suff w:val="nothing"/>
      <w:lvlText w:val="（%1）"/>
      <w:lvlJc w:val="left"/>
      <w:rPr>
        <w:rFonts w:hint="eastAsia"/>
      </w:rPr>
    </w:lvl>
  </w:abstractNum>
  <w:abstractNum w:abstractNumId="1">
    <w:nsid w:val="63115D4B"/>
    <w:multiLevelType w:val="singleLevel"/>
    <w:tmpl w:val="63115D4B"/>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kMzZiZGY1ODE0NzdlNTM0Zjk1Zjg2MjMyN2Y0YTgifQ=="/>
  </w:docVars>
  <w:rsids>
    <w:rsidRoot w:val="00491B22"/>
    <w:rsid w:val="00291808"/>
    <w:rsid w:val="00491B22"/>
    <w:rsid w:val="0052390C"/>
    <w:rsid w:val="0D9A0475"/>
    <w:rsid w:val="134F34F8"/>
    <w:rsid w:val="26B1325B"/>
    <w:rsid w:val="274C7086"/>
    <w:rsid w:val="34EB1F43"/>
    <w:rsid w:val="36435EC2"/>
    <w:rsid w:val="4DD97D2F"/>
    <w:rsid w:val="5CA34579"/>
    <w:rsid w:val="60D032A5"/>
    <w:rsid w:val="6BD9B9CC"/>
    <w:rsid w:val="6D8A10DF"/>
    <w:rsid w:val="73A741F5"/>
    <w:rsid w:val="EB5EF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99"/>
    <w:pPr>
      <w:spacing w:after="120"/>
      <w:ind w:left="420" w:leftChars="200"/>
    </w:pPr>
  </w:style>
  <w:style w:type="paragraph" w:styleId="3">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able of figures"/>
    <w:basedOn w:val="1"/>
    <w:next w:val="1"/>
    <w:qFormat/>
    <w:uiPriority w:val="0"/>
    <w:pPr>
      <w:ind w:leftChars="200" w:hanging="200" w:hangingChars="200"/>
    </w:pPr>
  </w:style>
  <w:style w:type="paragraph" w:styleId="6">
    <w:name w:val="Title"/>
    <w:basedOn w:val="1"/>
    <w:next w:val="1"/>
    <w:qFormat/>
    <w:uiPriority w:val="0"/>
    <w:pPr>
      <w:widowControl/>
      <w:adjustRightInd w:val="0"/>
      <w:snapToGrid w:val="0"/>
      <w:spacing w:before="240" w:after="60"/>
      <w:jc w:val="center"/>
      <w:outlineLvl w:val="0"/>
    </w:pPr>
    <w:rPr>
      <w:rFonts w:ascii="Cambria" w:hAnsi="Cambria"/>
      <w:b/>
      <w:bCs/>
      <w:kern w:val="0"/>
      <w:sz w:val="32"/>
      <w:szCs w:val="32"/>
    </w:rPr>
  </w:style>
  <w:style w:type="character" w:styleId="9">
    <w:name w:val="Strong"/>
    <w:basedOn w:val="8"/>
    <w:qFormat/>
    <w:uiPriority w:val="99"/>
    <w:rPr>
      <w:b/>
    </w:rPr>
  </w:style>
  <w:style w:type="character" w:customStyle="1" w:styleId="10">
    <w:name w:val="页眉 Char"/>
    <w:basedOn w:val="8"/>
    <w:link w:val="4"/>
    <w:semiHidden/>
    <w:qFormat/>
    <w:uiPriority w:val="99"/>
    <w:rPr>
      <w:sz w:val="18"/>
      <w:szCs w:val="18"/>
    </w:rPr>
  </w:style>
  <w:style w:type="character" w:customStyle="1" w:styleId="11">
    <w:name w:val="页脚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6</Pages>
  <Words>2487</Words>
  <Characters>2630</Characters>
  <Lines>2</Lines>
  <Paragraphs>1</Paragraphs>
  <TotalTime>8</TotalTime>
  <ScaleCrop>false</ScaleCrop>
  <LinksUpToDate>false</LinksUpToDate>
  <CharactersWithSpaces>2675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WPS_1511431328</cp:lastModifiedBy>
  <dcterms:modified xsi:type="dcterms:W3CDTF">2024-11-20T16:34:53Z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A04734005C0F0C0633F5F3664240B31D_43</vt:lpwstr>
  </property>
</Properties>
</file>