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A2BD9">
      <w:pPr>
        <w:keepNext w:val="0"/>
        <w:keepLines w:val="0"/>
        <w:pageBreakBefore w:val="0"/>
        <w:widowControl w:val="0"/>
        <w:kinsoku/>
        <w:wordWrap/>
        <w:overflowPunct/>
        <w:topLinePunct w:val="0"/>
        <w:autoSpaceDE/>
        <w:autoSpaceDN/>
        <w:bidi w:val="0"/>
        <w:spacing w:line="560" w:lineRule="exact"/>
        <w:jc w:val="center"/>
        <w:textAlignment w:val="auto"/>
        <w:outlineLvl w:val="0"/>
        <w:rPr>
          <w:rFonts w:hint="eastAsia" w:ascii="方正小标宋_GBK" w:hAnsi="方正小标宋_GBK" w:eastAsia="方正小标宋_GBK" w:cs="方正小标宋_GBK"/>
          <w:b w:val="0"/>
          <w:bCs/>
          <w:sz w:val="44"/>
          <w:szCs w:val="44"/>
          <w:lang w:eastAsia="zh-CN"/>
        </w:rPr>
      </w:pPr>
      <w:bookmarkStart w:id="0" w:name="_Toc15396616"/>
      <w:r>
        <w:rPr>
          <w:rFonts w:hint="eastAsia" w:ascii="方正小标宋_GBK" w:hAnsi="方正小标宋_GBK" w:eastAsia="方正小标宋_GBK" w:cs="方正小标宋_GBK"/>
          <w:b w:val="0"/>
          <w:bCs/>
          <w:sz w:val="44"/>
          <w:szCs w:val="44"/>
          <w:lang w:eastAsia="zh-CN"/>
        </w:rPr>
        <w:t>黑水县人力资源和社会保障局信息中心</w:t>
      </w:r>
    </w:p>
    <w:p w14:paraId="343D8501">
      <w:pPr>
        <w:keepNext w:val="0"/>
        <w:keepLines w:val="0"/>
        <w:pageBreakBefore w:val="0"/>
        <w:widowControl w:val="0"/>
        <w:kinsoku/>
        <w:wordWrap/>
        <w:overflowPunct/>
        <w:topLinePunct w:val="0"/>
        <w:autoSpaceDE/>
        <w:autoSpaceDN/>
        <w:bidi w:val="0"/>
        <w:spacing w:line="560" w:lineRule="exact"/>
        <w:jc w:val="center"/>
        <w:textAlignment w:val="auto"/>
        <w:outlineLvl w:val="0"/>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20</w:t>
      </w:r>
      <w:r>
        <w:rPr>
          <w:rFonts w:hint="eastAsia" w:ascii="方正小标宋_GBK" w:hAnsi="方正小标宋_GBK" w:eastAsia="方正小标宋_GBK" w:cs="方正小标宋_GBK"/>
          <w:b w:val="0"/>
          <w:bCs/>
          <w:sz w:val="44"/>
          <w:szCs w:val="44"/>
          <w:lang w:val="en-US" w:eastAsia="zh-CN"/>
        </w:rPr>
        <w:t>24</w:t>
      </w:r>
      <w:r>
        <w:rPr>
          <w:rFonts w:hint="eastAsia" w:ascii="方正小标宋_GBK" w:hAnsi="方正小标宋_GBK" w:eastAsia="方正小标宋_GBK" w:cs="方正小标宋_GBK"/>
          <w:b w:val="0"/>
          <w:bCs/>
          <w:sz w:val="44"/>
          <w:szCs w:val="44"/>
        </w:rPr>
        <w:t>年整体支出绩效评价报告</w:t>
      </w:r>
      <w:bookmarkEnd w:id="0"/>
    </w:p>
    <w:p w14:paraId="4DB0C265">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ascii="仿宋_GB2312" w:hAnsi="黑体" w:eastAsia="仿宋_GB2312" w:cs="黑体"/>
          <w:b/>
          <w:sz w:val="32"/>
          <w:szCs w:val="32"/>
        </w:rPr>
      </w:pPr>
    </w:p>
    <w:p w14:paraId="465489F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一、部门（单位）概况</w:t>
      </w:r>
    </w:p>
    <w:p w14:paraId="67531727">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（一）机构组成</w:t>
      </w:r>
    </w:p>
    <w:p w14:paraId="0AF565E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kern w:val="2"/>
          <w:sz w:val="32"/>
          <w:szCs w:val="32"/>
          <w:lang w:val="zh-CN"/>
        </w:rPr>
      </w:pPr>
      <w:r>
        <w:rPr>
          <w:rFonts w:hint="eastAsia" w:ascii="仿宋_GB2312" w:hAnsi="仿宋_GB2312" w:eastAsia="仿宋_GB2312" w:cs="仿宋_GB2312"/>
          <w:b w:val="0"/>
          <w:bCs/>
          <w:color w:val="auto"/>
          <w:kern w:val="2"/>
          <w:sz w:val="32"/>
          <w:szCs w:val="32"/>
          <w:lang w:val="en-US" w:eastAsia="zh-CN"/>
        </w:rPr>
        <w:t>本</w:t>
      </w:r>
      <w:r>
        <w:rPr>
          <w:rFonts w:hint="eastAsia" w:ascii="仿宋_GB2312" w:hAnsi="仿宋_GB2312" w:eastAsia="仿宋_GB2312" w:cs="仿宋_GB2312"/>
          <w:b w:val="0"/>
          <w:bCs/>
          <w:color w:val="auto"/>
          <w:kern w:val="2"/>
          <w:sz w:val="32"/>
          <w:szCs w:val="32"/>
          <w:lang w:val="zh-CN"/>
        </w:rPr>
        <w:t>局下属二级预算单位</w:t>
      </w:r>
      <w:r>
        <w:rPr>
          <w:rFonts w:hint="eastAsia" w:ascii="仿宋_GB2312" w:hAnsi="仿宋_GB2312" w:eastAsia="仿宋_GB2312" w:cs="仿宋_GB2312"/>
          <w:b w:val="0"/>
          <w:bCs/>
          <w:color w:val="auto"/>
          <w:kern w:val="2"/>
          <w:sz w:val="32"/>
          <w:szCs w:val="32"/>
          <w:lang w:val="en-US" w:eastAsia="zh-CN"/>
        </w:rPr>
        <w:t>4</w:t>
      </w:r>
      <w:r>
        <w:rPr>
          <w:rFonts w:hint="eastAsia" w:ascii="仿宋_GB2312" w:hAnsi="仿宋_GB2312" w:eastAsia="仿宋_GB2312" w:cs="仿宋_GB2312"/>
          <w:b w:val="0"/>
          <w:bCs/>
          <w:color w:val="auto"/>
          <w:kern w:val="2"/>
          <w:sz w:val="32"/>
          <w:szCs w:val="32"/>
          <w:lang w:val="zh-CN"/>
        </w:rPr>
        <w:t>个，其中行政单位</w:t>
      </w:r>
      <w:r>
        <w:rPr>
          <w:rFonts w:hint="eastAsia" w:ascii="仿宋_GB2312" w:hAnsi="仿宋_GB2312" w:eastAsia="仿宋_GB2312" w:cs="仿宋_GB2312"/>
          <w:b w:val="0"/>
          <w:bCs/>
          <w:color w:val="auto"/>
          <w:kern w:val="2"/>
          <w:sz w:val="32"/>
          <w:szCs w:val="32"/>
          <w:lang w:val="en-US" w:eastAsia="zh-CN"/>
        </w:rPr>
        <w:t>0</w:t>
      </w:r>
      <w:r>
        <w:rPr>
          <w:rFonts w:hint="eastAsia" w:ascii="仿宋_GB2312" w:hAnsi="仿宋_GB2312" w:eastAsia="仿宋_GB2312" w:cs="仿宋_GB2312"/>
          <w:b w:val="0"/>
          <w:bCs/>
          <w:color w:val="auto"/>
          <w:kern w:val="2"/>
          <w:sz w:val="32"/>
          <w:szCs w:val="32"/>
          <w:lang w:val="zh-CN"/>
        </w:rPr>
        <w:t>个，参照公务员法管理的事业单位</w:t>
      </w:r>
      <w:r>
        <w:rPr>
          <w:rFonts w:hint="eastAsia" w:ascii="仿宋_GB2312" w:hAnsi="仿宋_GB2312" w:eastAsia="仿宋_GB2312" w:cs="仿宋_GB2312"/>
          <w:b w:val="0"/>
          <w:bCs/>
          <w:color w:val="auto"/>
          <w:kern w:val="2"/>
          <w:sz w:val="32"/>
          <w:szCs w:val="32"/>
          <w:lang w:val="en-US" w:eastAsia="zh-CN"/>
        </w:rPr>
        <w:t>2</w:t>
      </w:r>
      <w:r>
        <w:rPr>
          <w:rFonts w:hint="eastAsia" w:ascii="仿宋_GB2312" w:hAnsi="仿宋_GB2312" w:eastAsia="仿宋_GB2312" w:cs="仿宋_GB2312"/>
          <w:b w:val="0"/>
          <w:bCs/>
          <w:color w:val="auto"/>
          <w:kern w:val="2"/>
          <w:sz w:val="32"/>
          <w:szCs w:val="32"/>
          <w:lang w:val="zh-CN"/>
        </w:rPr>
        <w:t>个：就业事务</w:t>
      </w:r>
      <w:r>
        <w:rPr>
          <w:rFonts w:hint="eastAsia" w:ascii="仿宋_GB2312" w:hAnsi="仿宋_GB2312" w:eastAsia="仿宋_GB2312" w:cs="仿宋_GB2312"/>
          <w:b w:val="0"/>
          <w:bCs/>
          <w:color w:val="auto"/>
          <w:kern w:val="2"/>
          <w:sz w:val="32"/>
          <w:szCs w:val="32"/>
          <w:lang w:val="zh-CN" w:eastAsia="zh-CN"/>
        </w:rPr>
        <w:t>中心</w:t>
      </w:r>
      <w:r>
        <w:rPr>
          <w:rFonts w:hint="eastAsia" w:ascii="仿宋_GB2312" w:hAnsi="仿宋_GB2312" w:eastAsia="仿宋_GB2312" w:cs="仿宋_GB2312"/>
          <w:b w:val="0"/>
          <w:bCs/>
          <w:color w:val="auto"/>
          <w:kern w:val="2"/>
          <w:sz w:val="32"/>
          <w:szCs w:val="32"/>
          <w:lang w:val="zh-CN"/>
        </w:rPr>
        <w:t>、社保事务中心，其他事业单位</w:t>
      </w:r>
      <w:r>
        <w:rPr>
          <w:rFonts w:hint="eastAsia" w:ascii="仿宋_GB2312" w:hAnsi="仿宋_GB2312" w:eastAsia="仿宋_GB2312" w:cs="仿宋_GB2312"/>
          <w:b w:val="0"/>
          <w:bCs/>
          <w:color w:val="auto"/>
          <w:kern w:val="2"/>
          <w:sz w:val="32"/>
          <w:szCs w:val="32"/>
          <w:lang w:val="en-US" w:eastAsia="zh-CN"/>
        </w:rPr>
        <w:t>2个</w:t>
      </w:r>
      <w:r>
        <w:rPr>
          <w:rFonts w:hint="eastAsia" w:ascii="仿宋_GB2312" w:hAnsi="仿宋_GB2312" w:eastAsia="仿宋_GB2312" w:cs="仿宋_GB2312"/>
          <w:b w:val="0"/>
          <w:bCs/>
          <w:color w:val="auto"/>
          <w:kern w:val="2"/>
          <w:sz w:val="32"/>
          <w:szCs w:val="32"/>
          <w:lang w:val="zh-CN"/>
        </w:rPr>
        <w:t>：城乡居民养老保险事务中心、医保中心。</w:t>
      </w:r>
    </w:p>
    <w:p w14:paraId="5A15319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kern w:val="2"/>
          <w:sz w:val="32"/>
          <w:szCs w:val="32"/>
          <w:lang w:val="en-US" w:eastAsia="zh-CN"/>
        </w:rPr>
      </w:pPr>
      <w:r>
        <w:rPr>
          <w:rFonts w:hint="eastAsia" w:ascii="仿宋_GB2312" w:hAnsi="仿宋_GB2312" w:eastAsia="仿宋_GB2312" w:cs="仿宋_GB2312"/>
          <w:b w:val="0"/>
          <w:bCs/>
          <w:color w:val="auto"/>
          <w:kern w:val="2"/>
          <w:sz w:val="32"/>
          <w:szCs w:val="32"/>
          <w:lang w:val="en-US" w:eastAsia="zh-CN"/>
        </w:rPr>
        <w:t>本局内设预算单位1个。人社局直属机构有：办公室、社会保障综合股、专业技术股、工资福利与退休股、社会保险基金监督股、劳动监察大队（参公）、信息中心（事业）、仲裁院（事业）。</w:t>
      </w:r>
    </w:p>
    <w:p w14:paraId="3E8C7FF9">
      <w:pPr>
        <w:keepNext w:val="0"/>
        <w:keepLines w:val="0"/>
        <w:pageBreakBefore w:val="0"/>
        <w:widowControl w:val="0"/>
        <w:numPr>
          <w:ilvl w:val="0"/>
          <w:numId w:val="1"/>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机构职能</w:t>
      </w:r>
    </w:p>
    <w:p w14:paraId="30AA2DD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color w:val="auto"/>
          <w:sz w:val="32"/>
          <w:szCs w:val="32"/>
        </w:rPr>
      </w:pPr>
      <w:r>
        <w:rPr>
          <w:rFonts w:hint="eastAsia" w:eastAsia="黑体" w:cs="Times New Roman"/>
          <w:b w:val="0"/>
          <w:bCs/>
          <w:color w:val="auto"/>
          <w:sz w:val="32"/>
          <w:szCs w:val="32"/>
          <w:lang w:val="en-US" w:eastAsia="zh-CN"/>
        </w:rPr>
        <w:t>第一条</w:t>
      </w:r>
      <w:r>
        <w:rPr>
          <w:rFonts w:hint="default" w:ascii="Times New Roman" w:hAnsi="Times New Roman" w:eastAsia="黑体" w:cs="Times New Roman"/>
          <w:b w:val="0"/>
          <w:bCs/>
          <w:color w:val="auto"/>
          <w:sz w:val="32"/>
          <w:szCs w:val="32"/>
        </w:rPr>
        <w:t xml:space="preserve"> </w:t>
      </w:r>
      <w:r>
        <w:rPr>
          <w:rFonts w:hint="default" w:ascii="Times New Roman" w:hAnsi="Times New Roman" w:eastAsia="仿宋_GB2312" w:cs="Times New Roman"/>
          <w:b w:val="0"/>
          <w:bCs/>
          <w:color w:val="auto"/>
          <w:sz w:val="32"/>
          <w:szCs w:val="32"/>
        </w:rPr>
        <w:t>为了规范黑水县人力资源和社会保障局（简称</w:t>
      </w:r>
      <w:r>
        <w:rPr>
          <w:rFonts w:hint="default" w:ascii="Times New Roman" w:hAnsi="Times New Roman" w:eastAsia="仿宋_GB2312" w:cs="Times New Roman"/>
          <w:b w:val="0"/>
          <w:bCs/>
          <w:color w:val="auto"/>
          <w:sz w:val="32"/>
          <w:szCs w:val="32"/>
          <w:lang w:val="en-US" w:eastAsia="zh-CN"/>
        </w:rPr>
        <w:t>县</w:t>
      </w:r>
      <w:r>
        <w:rPr>
          <w:rFonts w:hint="default" w:ascii="Times New Roman" w:hAnsi="Times New Roman" w:eastAsia="仿宋_GB2312" w:cs="Times New Roman"/>
          <w:b w:val="0"/>
          <w:bCs/>
          <w:color w:val="auto"/>
          <w:sz w:val="32"/>
          <w:szCs w:val="32"/>
        </w:rPr>
        <w:t>人力资源</w:t>
      </w:r>
      <w:r>
        <w:rPr>
          <w:rFonts w:hint="eastAsia" w:eastAsia="仿宋_GB2312" w:cs="Times New Roman"/>
          <w:b w:val="0"/>
          <w:bCs/>
          <w:color w:val="auto"/>
          <w:sz w:val="32"/>
          <w:szCs w:val="32"/>
          <w:lang w:eastAsia="zh-CN"/>
        </w:rPr>
        <w:t>和</w:t>
      </w:r>
      <w:r>
        <w:rPr>
          <w:rFonts w:hint="default" w:ascii="Times New Roman" w:hAnsi="Times New Roman" w:eastAsia="仿宋_GB2312" w:cs="Times New Roman"/>
          <w:b w:val="0"/>
          <w:bCs/>
          <w:color w:val="auto"/>
          <w:sz w:val="32"/>
          <w:szCs w:val="32"/>
        </w:rPr>
        <w:t>社会保障</w:t>
      </w:r>
      <w:r>
        <w:rPr>
          <w:rFonts w:hint="default" w:ascii="Times New Roman" w:hAnsi="Times New Roman" w:eastAsia="仿宋_GB2312" w:cs="Times New Roman"/>
          <w:b w:val="0"/>
          <w:bCs/>
          <w:color w:val="auto"/>
          <w:sz w:val="32"/>
          <w:szCs w:val="32"/>
          <w:lang w:val="en-US" w:eastAsia="zh-CN"/>
        </w:rPr>
        <w:t>局</w:t>
      </w:r>
      <w:r>
        <w:rPr>
          <w:rFonts w:hint="default" w:ascii="Times New Roman" w:hAnsi="Times New Roman" w:eastAsia="仿宋_GB2312" w:cs="Times New Roman"/>
          <w:b w:val="0"/>
          <w:bCs/>
          <w:color w:val="auto"/>
          <w:sz w:val="32"/>
          <w:szCs w:val="32"/>
        </w:rPr>
        <w:t>）的职能配置、内设机构和人员编制，推进机构、职能、权限、程序、责任法定化，根据《中国共产党机构编制工作条例》和《</w:t>
      </w:r>
      <w:r>
        <w:rPr>
          <w:rFonts w:hint="default" w:ascii="Times New Roman" w:hAnsi="Times New Roman" w:eastAsia="仿宋_GB2312" w:cs="Times New Roman"/>
          <w:b w:val="0"/>
          <w:bCs/>
          <w:color w:val="auto"/>
          <w:sz w:val="32"/>
          <w:szCs w:val="32"/>
          <w:lang w:val="en-US" w:eastAsia="zh-CN"/>
        </w:rPr>
        <w:t>黑水县</w:t>
      </w:r>
      <w:r>
        <w:rPr>
          <w:rFonts w:hint="default" w:ascii="Times New Roman" w:hAnsi="Times New Roman" w:eastAsia="仿宋_GB2312" w:cs="Times New Roman"/>
          <w:b w:val="0"/>
          <w:bCs/>
          <w:color w:val="auto"/>
          <w:sz w:val="32"/>
          <w:szCs w:val="32"/>
        </w:rPr>
        <w:t>机构改革方案》（</w:t>
      </w:r>
      <w:r>
        <w:rPr>
          <w:rFonts w:hint="default" w:ascii="Times New Roman" w:hAnsi="Times New Roman" w:eastAsia="仿宋_GB2312" w:cs="Times New Roman"/>
          <w:b w:val="0"/>
          <w:bCs/>
          <w:color w:val="auto"/>
          <w:sz w:val="32"/>
          <w:szCs w:val="32"/>
          <w:lang w:val="en-US" w:eastAsia="zh-CN"/>
        </w:rPr>
        <w:t>黑</w:t>
      </w:r>
      <w:r>
        <w:rPr>
          <w:rFonts w:hint="default" w:ascii="Times New Roman" w:hAnsi="Times New Roman" w:eastAsia="仿宋_GB2312" w:cs="Times New Roman"/>
          <w:b w:val="0"/>
          <w:bCs/>
          <w:color w:val="auto"/>
          <w:sz w:val="32"/>
          <w:szCs w:val="32"/>
        </w:rPr>
        <w:t>委〔</w:t>
      </w:r>
      <w:r>
        <w:rPr>
          <w:rFonts w:hint="default" w:ascii="Times New Roman" w:hAnsi="Times New Roman" w:eastAsia="仿宋_GB2312" w:cs="Times New Roman"/>
          <w:b w:val="0"/>
          <w:bCs/>
          <w:color w:val="auto"/>
          <w:sz w:val="32"/>
          <w:szCs w:val="32"/>
          <w:lang w:val="en-US" w:eastAsia="zh-CN"/>
        </w:rPr>
        <w:t>2024</w:t>
      </w:r>
      <w:r>
        <w:rPr>
          <w:rFonts w:hint="default" w:ascii="Times New Roman" w:hAnsi="Times New Roman" w:eastAsia="仿宋_GB2312" w:cs="Times New Roman"/>
          <w:b w:val="0"/>
          <w:bCs/>
          <w:color w:val="auto"/>
          <w:sz w:val="32"/>
          <w:szCs w:val="32"/>
        </w:rPr>
        <w:t>〕</w:t>
      </w:r>
      <w:r>
        <w:rPr>
          <w:rFonts w:hint="default" w:ascii="Times New Roman" w:hAnsi="Times New Roman" w:eastAsia="仿宋_GB2312" w:cs="Times New Roman"/>
          <w:b w:val="0"/>
          <w:bCs/>
          <w:color w:val="auto"/>
          <w:sz w:val="32"/>
          <w:szCs w:val="32"/>
          <w:lang w:val="en-US" w:eastAsia="zh-CN"/>
        </w:rPr>
        <w:t>42</w:t>
      </w:r>
      <w:r>
        <w:rPr>
          <w:rFonts w:hint="default" w:ascii="Times New Roman" w:hAnsi="Times New Roman" w:eastAsia="仿宋_GB2312" w:cs="Times New Roman"/>
          <w:b w:val="0"/>
          <w:bCs/>
          <w:color w:val="auto"/>
          <w:sz w:val="32"/>
          <w:szCs w:val="32"/>
        </w:rPr>
        <w:t>号）以及党中央、省委</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州委</w:t>
      </w:r>
      <w:r>
        <w:rPr>
          <w:rFonts w:hint="eastAsia" w:ascii="Times New Roman" w:hAnsi="Times New Roman" w:eastAsia="仿宋_GB2312" w:cs="Times New Roman"/>
          <w:b w:val="0"/>
          <w:bCs/>
          <w:color w:val="auto"/>
          <w:sz w:val="32"/>
          <w:szCs w:val="32"/>
          <w:lang w:eastAsia="zh-CN"/>
        </w:rPr>
        <w:t>、县委</w:t>
      </w:r>
      <w:r>
        <w:rPr>
          <w:rFonts w:hint="default" w:ascii="Times New Roman" w:hAnsi="Times New Roman" w:eastAsia="仿宋_GB2312" w:cs="Times New Roman"/>
          <w:b w:val="0"/>
          <w:bCs/>
          <w:color w:val="auto"/>
          <w:sz w:val="32"/>
          <w:szCs w:val="32"/>
        </w:rPr>
        <w:t>对</w:t>
      </w:r>
      <w:r>
        <w:rPr>
          <w:rFonts w:hint="default" w:ascii="Times New Roman" w:hAnsi="Times New Roman" w:eastAsia="仿宋_GB2312" w:cs="Times New Roman"/>
          <w:b w:val="0"/>
          <w:bCs/>
          <w:color w:val="auto"/>
          <w:sz w:val="32"/>
          <w:szCs w:val="32"/>
          <w:lang w:eastAsia="zh-CN"/>
        </w:rPr>
        <w:t>人力资源和社会保障</w:t>
      </w:r>
      <w:r>
        <w:rPr>
          <w:rFonts w:hint="default" w:ascii="Times New Roman" w:hAnsi="Times New Roman" w:eastAsia="仿宋_GB2312" w:cs="Times New Roman"/>
          <w:b w:val="0"/>
          <w:bCs/>
          <w:color w:val="auto"/>
          <w:sz w:val="32"/>
          <w:szCs w:val="32"/>
        </w:rPr>
        <w:t>工作的有关要求，制定本规定。</w:t>
      </w:r>
    </w:p>
    <w:p w14:paraId="17FD328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color w:val="auto"/>
          <w:sz w:val="32"/>
          <w:szCs w:val="32"/>
          <w:lang w:val="en-US" w:eastAsia="zh-CN"/>
        </w:rPr>
      </w:pPr>
      <w:r>
        <w:rPr>
          <w:rFonts w:hint="eastAsia" w:eastAsia="黑体" w:cs="Times New Roman"/>
          <w:b w:val="0"/>
          <w:bCs/>
          <w:color w:val="auto"/>
          <w:sz w:val="32"/>
          <w:szCs w:val="32"/>
          <w:lang w:val="en-US" w:eastAsia="zh-CN"/>
        </w:rPr>
        <w:t>第二条</w:t>
      </w:r>
      <w:r>
        <w:rPr>
          <w:rFonts w:hint="default" w:ascii="Times New Roman" w:hAnsi="Times New Roman" w:eastAsia="黑体" w:cs="Times New Roman"/>
          <w:b w:val="0"/>
          <w:bCs/>
          <w:color w:val="auto"/>
          <w:sz w:val="32"/>
          <w:szCs w:val="32"/>
          <w:lang w:val="en-US" w:eastAsia="zh-CN"/>
        </w:rPr>
        <w:t xml:space="preserve"> </w:t>
      </w:r>
      <w:r>
        <w:rPr>
          <w:rFonts w:hint="eastAsia" w:ascii="Times New Roman" w:hAnsi="Times New Roman" w:eastAsia="仿宋_GB2312" w:cs="Times New Roman"/>
          <w:b w:val="0"/>
          <w:bCs/>
          <w:color w:val="auto"/>
          <w:sz w:val="32"/>
          <w:szCs w:val="32"/>
          <w:lang w:eastAsia="zh-CN"/>
        </w:rPr>
        <w:t>县人力资源</w:t>
      </w:r>
      <w:r>
        <w:rPr>
          <w:rFonts w:hint="eastAsia" w:eastAsia="仿宋_GB2312" w:cs="Times New Roman"/>
          <w:b w:val="0"/>
          <w:bCs/>
          <w:color w:val="auto"/>
          <w:sz w:val="32"/>
          <w:szCs w:val="32"/>
          <w:lang w:eastAsia="zh-CN"/>
        </w:rPr>
        <w:t>和</w:t>
      </w:r>
      <w:r>
        <w:rPr>
          <w:rFonts w:hint="eastAsia" w:ascii="Times New Roman" w:hAnsi="Times New Roman" w:eastAsia="仿宋_GB2312" w:cs="Times New Roman"/>
          <w:b w:val="0"/>
          <w:bCs/>
          <w:color w:val="auto"/>
          <w:sz w:val="32"/>
          <w:szCs w:val="32"/>
          <w:lang w:eastAsia="zh-CN"/>
        </w:rPr>
        <w:t>社会保障局</w:t>
      </w:r>
      <w:r>
        <w:rPr>
          <w:rFonts w:hint="default" w:ascii="Times New Roman" w:hAnsi="Times New Roman" w:eastAsia="仿宋_GB2312" w:cs="Times New Roman"/>
          <w:b w:val="0"/>
          <w:bCs/>
          <w:color w:val="auto"/>
          <w:sz w:val="32"/>
          <w:szCs w:val="32"/>
        </w:rPr>
        <w:t>是</w:t>
      </w:r>
      <w:r>
        <w:rPr>
          <w:rFonts w:hint="default" w:ascii="Times New Roman" w:hAnsi="Times New Roman" w:eastAsia="仿宋_GB2312" w:cs="Times New Roman"/>
          <w:b w:val="0"/>
          <w:bCs/>
          <w:color w:val="auto"/>
          <w:sz w:val="32"/>
          <w:szCs w:val="32"/>
          <w:lang w:eastAsia="zh-CN"/>
        </w:rPr>
        <w:t>黑水</w:t>
      </w:r>
      <w:r>
        <w:rPr>
          <w:rFonts w:hint="default" w:ascii="Times New Roman" w:hAnsi="Times New Roman" w:eastAsia="仿宋_GB2312" w:cs="Times New Roman"/>
          <w:b w:val="0"/>
          <w:bCs/>
          <w:color w:val="auto"/>
          <w:sz w:val="32"/>
          <w:szCs w:val="32"/>
          <w:lang w:val="en-US" w:eastAsia="zh-CN"/>
        </w:rPr>
        <w:t>县人民政府工作</w:t>
      </w:r>
      <w:r>
        <w:rPr>
          <w:rFonts w:hint="default" w:ascii="Times New Roman" w:hAnsi="Times New Roman" w:eastAsia="仿宋_GB2312" w:cs="Times New Roman"/>
          <w:b w:val="0"/>
          <w:bCs/>
          <w:color w:val="auto"/>
          <w:sz w:val="32"/>
          <w:szCs w:val="32"/>
        </w:rPr>
        <w:t>部门，为</w:t>
      </w:r>
      <w:r>
        <w:rPr>
          <w:rFonts w:hint="default" w:ascii="Times New Roman" w:hAnsi="Times New Roman" w:eastAsia="仿宋_GB2312" w:cs="Times New Roman"/>
          <w:b w:val="0"/>
          <w:bCs/>
          <w:color w:val="auto"/>
          <w:sz w:val="32"/>
          <w:szCs w:val="32"/>
          <w:lang w:val="en-US" w:eastAsia="zh-CN"/>
        </w:rPr>
        <w:t>正科</w:t>
      </w:r>
      <w:r>
        <w:rPr>
          <w:rFonts w:hint="default" w:ascii="Times New Roman" w:hAnsi="Times New Roman" w:eastAsia="仿宋_GB2312" w:cs="Times New Roman"/>
          <w:b w:val="0"/>
          <w:bCs/>
          <w:color w:val="auto"/>
          <w:sz w:val="32"/>
          <w:szCs w:val="32"/>
        </w:rPr>
        <w:t>级。</w:t>
      </w:r>
      <w:r>
        <w:rPr>
          <w:rFonts w:hint="default" w:ascii="Times New Roman" w:hAnsi="Times New Roman" w:eastAsia="仿宋_GB2312" w:cs="Times New Roman"/>
          <w:b w:val="0"/>
          <w:bCs/>
          <w:color w:val="auto"/>
          <w:sz w:val="32"/>
          <w:szCs w:val="32"/>
          <w:lang w:val="en-US" w:eastAsia="zh-CN"/>
        </w:rPr>
        <w:t>加挂</w:t>
      </w:r>
      <w:r>
        <w:rPr>
          <w:rFonts w:hint="default" w:ascii="Times New Roman" w:hAnsi="Times New Roman" w:eastAsia="仿宋_GB2312" w:cs="Times New Roman"/>
          <w:b w:val="0"/>
          <w:bCs/>
          <w:color w:val="auto"/>
          <w:sz w:val="32"/>
          <w:szCs w:val="32"/>
          <w:lang w:eastAsia="zh-CN"/>
        </w:rPr>
        <w:t>黑水</w:t>
      </w:r>
      <w:r>
        <w:rPr>
          <w:rFonts w:hint="default" w:ascii="Times New Roman" w:hAnsi="Times New Roman" w:eastAsia="仿宋_GB2312" w:cs="Times New Roman"/>
          <w:b w:val="0"/>
          <w:bCs/>
          <w:color w:val="auto"/>
          <w:sz w:val="32"/>
          <w:szCs w:val="32"/>
          <w:lang w:val="en-US" w:eastAsia="zh-CN"/>
        </w:rPr>
        <w:t>县医疗保障局（简称县医保局）牌子。</w:t>
      </w:r>
    </w:p>
    <w:p w14:paraId="38241A4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color w:val="auto"/>
          <w:sz w:val="32"/>
          <w:szCs w:val="32"/>
          <w:lang w:eastAsia="zh-CN"/>
        </w:rPr>
      </w:pPr>
      <w:r>
        <w:rPr>
          <w:rFonts w:hint="eastAsia" w:eastAsia="黑体" w:cs="Times New Roman"/>
          <w:b w:val="0"/>
          <w:bCs/>
          <w:color w:val="000000" w:themeColor="text1"/>
          <w:sz w:val="32"/>
          <w:szCs w:val="32"/>
          <w:lang w:val="en-US" w:eastAsia="zh-CN"/>
          <w14:textFill>
            <w14:solidFill>
              <w14:schemeClr w14:val="tx1"/>
            </w14:solidFill>
          </w14:textFill>
        </w:rPr>
        <w:t xml:space="preserve">第三条 </w:t>
      </w:r>
      <w:r>
        <w:rPr>
          <w:rFonts w:hint="default" w:ascii="Times New Roman" w:hAnsi="Times New Roman" w:eastAsia="仿宋_GB2312" w:cs="Times New Roman"/>
          <w:b w:val="0"/>
          <w:bCs/>
          <w:color w:val="auto"/>
          <w:sz w:val="32"/>
          <w:szCs w:val="32"/>
          <w:lang w:eastAsia="zh-CN"/>
        </w:rPr>
        <w:t>本规定确定的主要职责、机构设置、人员编制等，是</w:t>
      </w:r>
      <w:r>
        <w:rPr>
          <w:rFonts w:hint="eastAsia" w:ascii="Times New Roman" w:hAnsi="Times New Roman" w:eastAsia="仿宋_GB2312" w:cs="Times New Roman"/>
          <w:b w:val="0"/>
          <w:bCs/>
          <w:color w:val="auto"/>
          <w:sz w:val="32"/>
          <w:szCs w:val="32"/>
          <w:lang w:eastAsia="zh-CN"/>
        </w:rPr>
        <w:t>县人力资源</w:t>
      </w:r>
      <w:r>
        <w:rPr>
          <w:rFonts w:hint="eastAsia" w:eastAsia="仿宋_GB2312" w:cs="Times New Roman"/>
          <w:b w:val="0"/>
          <w:bCs/>
          <w:color w:val="auto"/>
          <w:sz w:val="32"/>
          <w:szCs w:val="32"/>
          <w:lang w:eastAsia="zh-CN"/>
        </w:rPr>
        <w:t>和</w:t>
      </w:r>
      <w:r>
        <w:rPr>
          <w:rFonts w:hint="eastAsia" w:ascii="Times New Roman" w:hAnsi="Times New Roman" w:eastAsia="仿宋_GB2312" w:cs="Times New Roman"/>
          <w:b w:val="0"/>
          <w:bCs/>
          <w:color w:val="auto"/>
          <w:sz w:val="32"/>
          <w:szCs w:val="32"/>
          <w:lang w:eastAsia="zh-CN"/>
        </w:rPr>
        <w:t>社会保障局</w:t>
      </w:r>
      <w:r>
        <w:rPr>
          <w:rFonts w:hint="default" w:ascii="Times New Roman" w:hAnsi="Times New Roman" w:eastAsia="仿宋_GB2312" w:cs="Times New Roman"/>
          <w:b w:val="0"/>
          <w:bCs/>
          <w:color w:val="auto"/>
          <w:sz w:val="32"/>
          <w:szCs w:val="32"/>
          <w:lang w:eastAsia="zh-CN"/>
        </w:rPr>
        <w:t>机构职责权限、人员配备和工作运行的基本依据。</w:t>
      </w:r>
    </w:p>
    <w:p w14:paraId="0513464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eastAsia="黑体" w:cs="Times New Roman"/>
          <w:b w:val="0"/>
          <w:bCs/>
          <w:color w:val="auto"/>
          <w:sz w:val="32"/>
          <w:szCs w:val="32"/>
          <w:lang w:val="en-US" w:eastAsia="zh-CN"/>
        </w:rPr>
        <w:t xml:space="preserve">第四条 </w:t>
      </w:r>
      <w:r>
        <w:rPr>
          <w:rFonts w:hint="eastAsia" w:ascii="仿宋_GB2312" w:hAnsi="仿宋_GB2312" w:eastAsia="仿宋_GB2312" w:cs="仿宋_GB2312"/>
          <w:b w:val="0"/>
          <w:bCs/>
          <w:color w:val="auto"/>
          <w:sz w:val="32"/>
          <w:szCs w:val="32"/>
          <w:lang w:eastAsia="zh-CN"/>
        </w:rPr>
        <w:t>县人力资源和社会保障局贯彻落实党中央关于人力资源和社会保障工作的方针政策和省委、州委、县委的决策部署，在履行职责过程中坚持和加强党对人力资源和社会保障工作的集中统一领导，县人力资源和社会保障局主要职责是：</w:t>
      </w:r>
      <w:r>
        <w:rPr>
          <w:rFonts w:hint="eastAsia" w:ascii="仿宋_GB2312" w:hAnsi="仿宋_GB2312" w:eastAsia="仿宋_GB2312" w:cs="仿宋_GB2312"/>
          <w:b w:val="0"/>
          <w:bCs/>
          <w:color w:val="auto"/>
          <w:sz w:val="32"/>
          <w:szCs w:val="32"/>
          <w:lang w:val="en-US" w:eastAsia="zh-CN"/>
        </w:rPr>
        <w:t xml:space="preserve">                             </w:t>
      </w:r>
    </w:p>
    <w:p w14:paraId="2A06867F">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sz w:val="32"/>
          <w:szCs w:val="28"/>
          <w:highlight w:val="none"/>
          <w:lang w:eastAsia="zh-CN"/>
        </w:rPr>
      </w:pPr>
      <w:r>
        <w:rPr>
          <w:rFonts w:hint="eastAsia" w:ascii="仿宋_GB2312" w:hAnsi="仿宋_GB2312" w:eastAsia="仿宋_GB2312" w:cs="仿宋_GB2312"/>
          <w:b w:val="0"/>
          <w:bCs/>
          <w:color w:val="000000" w:themeColor="text1"/>
          <w:sz w:val="32"/>
          <w:szCs w:val="32"/>
          <w14:textFill>
            <w14:solidFill>
              <w14:schemeClr w14:val="tx1"/>
            </w14:solidFill>
          </w14:textFill>
        </w:rPr>
        <w:t>贯彻</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执行国家、省、州人力资源和社会保障工作的法律法规、规章，拟订</w:t>
      </w:r>
      <w:r>
        <w:rPr>
          <w:rFonts w:hint="eastAsia" w:ascii="仿宋_GB2312" w:hAnsi="仿宋_GB2312" w:eastAsia="仿宋_GB2312" w:cs="仿宋_GB2312"/>
          <w:b w:val="0"/>
          <w:bCs/>
          <w:color w:val="000000" w:themeColor="text1"/>
          <w:sz w:val="32"/>
          <w:szCs w:val="32"/>
          <w14:textFill>
            <w14:solidFill>
              <w14:schemeClr w14:val="tx1"/>
            </w14:solidFill>
          </w14:textFill>
        </w:rPr>
        <w:t>全县人力资源和社会保障事业</w:t>
      </w:r>
      <w:r>
        <w:rPr>
          <w:rFonts w:hint="eastAsia" w:ascii="仿宋_GB2312" w:hAnsi="仿宋_GB2312" w:eastAsia="仿宋_GB2312" w:cs="仿宋_GB2312"/>
          <w:b w:val="0"/>
          <w:bCs/>
          <w:color w:val="000000" w:themeColor="text1"/>
          <w:sz w:val="32"/>
          <w:szCs w:val="28"/>
          <w:highlight w:val="none"/>
          <w14:textFill>
            <w14:solidFill>
              <w14:schemeClr w14:val="tx1"/>
            </w14:solidFill>
          </w14:textFill>
        </w:rPr>
        <w:t>发展规</w:t>
      </w:r>
      <w:r>
        <w:rPr>
          <w:rFonts w:hint="eastAsia" w:ascii="仿宋_GB2312" w:hAnsi="仿宋_GB2312" w:eastAsia="仿宋_GB2312" w:cs="仿宋_GB2312"/>
          <w:b w:val="0"/>
          <w:bCs/>
          <w:sz w:val="32"/>
          <w:szCs w:val="28"/>
          <w:highlight w:val="none"/>
        </w:rPr>
        <w:t>划、政策和标准</w:t>
      </w:r>
      <w:r>
        <w:rPr>
          <w:rFonts w:hint="eastAsia" w:ascii="仿宋_GB2312" w:hAnsi="仿宋_GB2312" w:eastAsia="仿宋_GB2312" w:cs="仿宋_GB2312"/>
          <w:b w:val="0"/>
          <w:bCs/>
          <w:sz w:val="32"/>
          <w:szCs w:val="28"/>
          <w:highlight w:val="none"/>
          <w:lang w:eastAsia="zh-CN"/>
        </w:rPr>
        <w:t>。</w:t>
      </w:r>
    </w:p>
    <w:p w14:paraId="59164730">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拟订并组织实施人力资源市场</w:t>
      </w:r>
      <w:r>
        <w:rPr>
          <w:rFonts w:hint="eastAsia" w:ascii="仿宋_GB2312" w:hAnsi="仿宋_GB2312" w:eastAsia="仿宋_GB2312" w:cs="仿宋_GB2312"/>
          <w:b w:val="0"/>
          <w:bCs/>
          <w:color w:val="auto"/>
          <w:sz w:val="32"/>
          <w:szCs w:val="32"/>
          <w:lang w:eastAsia="zh-CN"/>
        </w:rPr>
        <w:t>和人力资源服务业</w:t>
      </w:r>
      <w:r>
        <w:rPr>
          <w:rFonts w:hint="eastAsia" w:ascii="仿宋_GB2312" w:hAnsi="仿宋_GB2312" w:eastAsia="仿宋_GB2312" w:cs="仿宋_GB2312"/>
          <w:b w:val="0"/>
          <w:bCs/>
          <w:color w:val="auto"/>
          <w:sz w:val="32"/>
          <w:szCs w:val="32"/>
        </w:rPr>
        <w:t>发展规划</w:t>
      </w:r>
      <w:r>
        <w:rPr>
          <w:rFonts w:hint="eastAsia" w:ascii="仿宋_GB2312" w:hAnsi="仿宋_GB2312" w:eastAsia="仿宋_GB2312" w:cs="仿宋_GB2312"/>
          <w:b w:val="0"/>
          <w:bCs/>
          <w:color w:val="auto"/>
          <w:sz w:val="32"/>
          <w:szCs w:val="32"/>
          <w:lang w:eastAsia="zh-CN"/>
        </w:rPr>
        <w:t>，负责全县人力资源服务机构和职业技能培训机构的指导、监督和管理，</w:t>
      </w:r>
      <w:r>
        <w:rPr>
          <w:rFonts w:hint="eastAsia" w:ascii="仿宋_GB2312" w:hAnsi="仿宋_GB2312" w:eastAsia="仿宋_GB2312" w:cs="仿宋_GB2312"/>
          <w:b w:val="0"/>
          <w:bCs/>
          <w:color w:val="auto"/>
          <w:sz w:val="32"/>
          <w:szCs w:val="32"/>
        </w:rPr>
        <w:t>促进人力资源合理流动、有效配置。</w:t>
      </w:r>
    </w:p>
    <w:p w14:paraId="0D42064D">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000000" w:themeColor="text1"/>
          <w:sz w:val="32"/>
          <w:szCs w:val="32"/>
          <w14:textFill>
            <w14:solidFill>
              <w14:schemeClr w14:val="tx1"/>
            </w14:solidFill>
          </w14:textFill>
        </w:rPr>
        <w:t>负责促进就业工</w:t>
      </w:r>
      <w:r>
        <w:rPr>
          <w:rFonts w:hint="eastAsia" w:ascii="仿宋_GB2312" w:hAnsi="仿宋_GB2312" w:eastAsia="仿宋_GB2312" w:cs="仿宋_GB2312"/>
          <w:b w:val="0"/>
          <w:bCs/>
          <w:color w:val="auto"/>
          <w:sz w:val="32"/>
          <w:szCs w:val="32"/>
        </w:rPr>
        <w:t>作。拟订统筹</w:t>
      </w:r>
      <w:r>
        <w:rPr>
          <w:rFonts w:hint="eastAsia" w:ascii="仿宋_GB2312" w:hAnsi="仿宋_GB2312" w:eastAsia="仿宋_GB2312" w:cs="仿宋_GB2312"/>
          <w:b w:val="0"/>
          <w:bCs/>
          <w:color w:val="auto"/>
          <w:sz w:val="32"/>
          <w:szCs w:val="32"/>
          <w:lang w:eastAsia="zh-CN"/>
        </w:rPr>
        <w:t>全县</w:t>
      </w:r>
      <w:r>
        <w:rPr>
          <w:rFonts w:hint="eastAsia" w:ascii="仿宋_GB2312" w:hAnsi="仿宋_GB2312" w:eastAsia="仿宋_GB2312" w:cs="仿宋_GB2312"/>
          <w:b w:val="0"/>
          <w:bCs/>
          <w:color w:val="auto"/>
          <w:sz w:val="32"/>
          <w:szCs w:val="32"/>
        </w:rPr>
        <w:t>就业发展规划、</w:t>
      </w:r>
      <w:r>
        <w:rPr>
          <w:rFonts w:hint="eastAsia" w:ascii="仿宋_GB2312" w:hAnsi="仿宋_GB2312" w:eastAsia="仿宋_GB2312" w:cs="仿宋_GB2312"/>
          <w:b w:val="0"/>
          <w:bCs/>
          <w:color w:val="auto"/>
          <w:sz w:val="32"/>
          <w:szCs w:val="32"/>
          <w:lang w:eastAsia="zh-CN"/>
        </w:rPr>
        <w:t>落实</w:t>
      </w:r>
      <w:r>
        <w:rPr>
          <w:rFonts w:hint="eastAsia" w:ascii="仿宋_GB2312" w:hAnsi="仿宋_GB2312" w:eastAsia="仿宋_GB2312" w:cs="仿宋_GB2312"/>
          <w:b w:val="0"/>
          <w:bCs/>
          <w:color w:val="auto"/>
          <w:sz w:val="32"/>
          <w:szCs w:val="32"/>
        </w:rPr>
        <w:t>措施，完善公共就业</w:t>
      </w:r>
      <w:r>
        <w:rPr>
          <w:rFonts w:hint="eastAsia" w:ascii="仿宋_GB2312" w:hAnsi="仿宋_GB2312" w:eastAsia="仿宋_GB2312" w:cs="仿宋_GB2312"/>
          <w:b w:val="0"/>
          <w:bCs/>
          <w:color w:val="auto"/>
          <w:sz w:val="32"/>
          <w:szCs w:val="32"/>
          <w:lang w:eastAsia="zh-CN"/>
        </w:rPr>
        <w:t>创业</w:t>
      </w:r>
      <w:r>
        <w:rPr>
          <w:rFonts w:hint="eastAsia" w:ascii="仿宋_GB2312" w:hAnsi="仿宋_GB2312" w:eastAsia="仿宋_GB2312" w:cs="仿宋_GB2312"/>
          <w:b w:val="0"/>
          <w:bCs/>
          <w:color w:val="auto"/>
          <w:sz w:val="32"/>
          <w:szCs w:val="32"/>
        </w:rPr>
        <w:t>服务体系</w:t>
      </w:r>
      <w:r>
        <w:rPr>
          <w:rFonts w:hint="eastAsia" w:ascii="仿宋_GB2312" w:hAnsi="仿宋_GB2312" w:eastAsia="仿宋_GB2312" w:cs="仿宋_GB2312"/>
          <w:b w:val="0"/>
          <w:bCs/>
          <w:color w:val="auto"/>
          <w:sz w:val="32"/>
          <w:szCs w:val="32"/>
          <w:lang w:eastAsia="zh-CN"/>
        </w:rPr>
        <w:t>。贯彻</w:t>
      </w:r>
      <w:r>
        <w:rPr>
          <w:rFonts w:hint="eastAsia" w:ascii="仿宋_GB2312" w:hAnsi="仿宋_GB2312" w:eastAsia="仿宋_GB2312" w:cs="仿宋_GB2312"/>
          <w:b w:val="0"/>
          <w:bCs/>
          <w:color w:val="auto"/>
          <w:sz w:val="32"/>
          <w:szCs w:val="32"/>
        </w:rPr>
        <w:t>落实创业、就业援助制度</w:t>
      </w:r>
      <w:r>
        <w:rPr>
          <w:rFonts w:hint="eastAsia" w:ascii="仿宋_GB2312" w:hAnsi="仿宋_GB2312" w:eastAsia="仿宋_GB2312" w:cs="仿宋_GB2312"/>
          <w:b w:val="0"/>
          <w:bCs/>
          <w:color w:val="auto"/>
          <w:sz w:val="32"/>
          <w:szCs w:val="32"/>
          <w:lang w:eastAsia="zh-CN"/>
        </w:rPr>
        <w:t>和</w:t>
      </w:r>
      <w:r>
        <w:rPr>
          <w:rFonts w:hint="eastAsia" w:ascii="仿宋_GB2312" w:hAnsi="仿宋_GB2312" w:eastAsia="仿宋_GB2312" w:cs="仿宋_GB2312"/>
          <w:b w:val="0"/>
          <w:bCs/>
          <w:color w:val="auto"/>
          <w:sz w:val="32"/>
          <w:szCs w:val="32"/>
        </w:rPr>
        <w:t>职业资格制度</w:t>
      </w:r>
      <w:r>
        <w:rPr>
          <w:rFonts w:hint="eastAsia" w:ascii="仿宋_GB2312" w:hAnsi="仿宋_GB2312" w:eastAsia="仿宋_GB2312" w:cs="仿宋_GB2312"/>
          <w:b w:val="0"/>
          <w:bCs/>
          <w:color w:val="auto"/>
          <w:sz w:val="32"/>
          <w:szCs w:val="32"/>
          <w:lang w:eastAsia="zh-CN"/>
        </w:rPr>
        <w:t>。贯彻落实</w:t>
      </w:r>
      <w:r>
        <w:rPr>
          <w:rFonts w:hint="eastAsia" w:ascii="仿宋_GB2312" w:hAnsi="仿宋_GB2312" w:eastAsia="仿宋_GB2312" w:cs="仿宋_GB2312"/>
          <w:b w:val="0"/>
          <w:bCs/>
          <w:color w:val="auto"/>
          <w:sz w:val="32"/>
          <w:szCs w:val="32"/>
        </w:rPr>
        <w:t>面向城乡劳动者的职业培训制度</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贯彻落实</w:t>
      </w:r>
      <w:r>
        <w:rPr>
          <w:rFonts w:hint="eastAsia" w:ascii="仿宋_GB2312" w:hAnsi="仿宋_GB2312" w:eastAsia="仿宋_GB2312" w:cs="仿宋_GB2312"/>
          <w:b w:val="0"/>
          <w:bCs/>
          <w:color w:val="auto"/>
          <w:sz w:val="32"/>
          <w:szCs w:val="32"/>
          <w:lang w:eastAsia="zh-CN"/>
        </w:rPr>
        <w:t>高校毕业生</w:t>
      </w:r>
      <w:r>
        <w:rPr>
          <w:rFonts w:hint="eastAsia" w:ascii="仿宋_GB2312" w:hAnsi="仿宋_GB2312" w:eastAsia="仿宋_GB2312" w:cs="仿宋_GB2312"/>
          <w:b w:val="0"/>
          <w:bCs/>
          <w:color w:val="auto"/>
          <w:sz w:val="32"/>
          <w:szCs w:val="32"/>
        </w:rPr>
        <w:t>就业</w:t>
      </w:r>
      <w:r>
        <w:rPr>
          <w:rFonts w:hint="eastAsia" w:ascii="仿宋_GB2312" w:hAnsi="仿宋_GB2312" w:eastAsia="仿宋_GB2312" w:cs="仿宋_GB2312"/>
          <w:b w:val="0"/>
          <w:bCs/>
          <w:color w:val="auto"/>
          <w:sz w:val="32"/>
          <w:szCs w:val="32"/>
          <w:lang w:eastAsia="zh-CN"/>
        </w:rPr>
        <w:t>创业</w:t>
      </w:r>
      <w:r>
        <w:rPr>
          <w:rFonts w:hint="eastAsia" w:ascii="仿宋_GB2312" w:hAnsi="仿宋_GB2312" w:eastAsia="仿宋_GB2312" w:cs="仿宋_GB2312"/>
          <w:b w:val="0"/>
          <w:bCs/>
          <w:color w:val="auto"/>
          <w:sz w:val="32"/>
          <w:szCs w:val="32"/>
        </w:rPr>
        <w:t>政策。</w:t>
      </w:r>
    </w:p>
    <w:p w14:paraId="0A8D45AB">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统筹</w:t>
      </w:r>
      <w:r>
        <w:rPr>
          <w:rFonts w:hint="eastAsia" w:ascii="仿宋_GB2312" w:hAnsi="仿宋_GB2312" w:eastAsia="仿宋_GB2312" w:cs="仿宋_GB2312"/>
          <w:b w:val="0"/>
          <w:bCs/>
          <w:color w:val="auto"/>
          <w:sz w:val="32"/>
          <w:szCs w:val="32"/>
          <w:lang w:eastAsia="zh-CN"/>
        </w:rPr>
        <w:t>推进</w:t>
      </w:r>
      <w:r>
        <w:rPr>
          <w:rFonts w:hint="eastAsia" w:ascii="仿宋_GB2312" w:hAnsi="仿宋_GB2312" w:eastAsia="仿宋_GB2312" w:cs="仿宋_GB2312"/>
          <w:b w:val="0"/>
          <w:bCs/>
          <w:color w:val="auto"/>
          <w:sz w:val="32"/>
          <w:szCs w:val="32"/>
        </w:rPr>
        <w:t>建立覆盖城乡的社会保障体系。贯彻落实</w:t>
      </w:r>
      <w:r>
        <w:rPr>
          <w:rFonts w:hint="eastAsia" w:ascii="仿宋_GB2312" w:hAnsi="仿宋_GB2312" w:eastAsia="仿宋_GB2312" w:cs="仿宋_GB2312"/>
          <w:b w:val="0"/>
          <w:bCs/>
          <w:color w:val="auto"/>
          <w:sz w:val="32"/>
          <w:szCs w:val="32"/>
          <w:lang w:eastAsia="zh-CN"/>
        </w:rPr>
        <w:t>国家、省、州的养老、</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医疗、</w:t>
      </w:r>
      <w:r>
        <w:rPr>
          <w:rFonts w:hint="eastAsia" w:ascii="仿宋_GB2312" w:hAnsi="仿宋_GB2312" w:eastAsia="仿宋_GB2312" w:cs="仿宋_GB2312"/>
          <w:b w:val="0"/>
          <w:bCs/>
          <w:color w:val="auto"/>
          <w:sz w:val="32"/>
          <w:szCs w:val="32"/>
          <w:lang w:eastAsia="zh-CN"/>
        </w:rPr>
        <w:t>失业、工伤等社会保险及其补充保险政策、标准和</w:t>
      </w:r>
      <w:r>
        <w:rPr>
          <w:rFonts w:hint="eastAsia" w:ascii="仿宋_GB2312" w:hAnsi="仿宋_GB2312" w:eastAsia="仿宋_GB2312" w:cs="仿宋_GB2312"/>
          <w:b w:val="0"/>
          <w:bCs/>
          <w:color w:val="auto"/>
          <w:sz w:val="32"/>
          <w:szCs w:val="32"/>
        </w:rPr>
        <w:t>转续办法</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000000" w:themeColor="text1"/>
          <w:sz w:val="32"/>
          <w:szCs w:val="32"/>
          <w14:textFill>
            <w14:solidFill>
              <w14:schemeClr w14:val="tx1"/>
            </w14:solidFill>
          </w14:textFill>
        </w:rPr>
        <w:t>拟</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订</w:t>
      </w:r>
      <w:r>
        <w:rPr>
          <w:rFonts w:hint="eastAsia" w:ascii="仿宋_GB2312" w:hAnsi="仿宋_GB2312" w:eastAsia="仿宋_GB2312" w:cs="仿宋_GB2312"/>
          <w:b w:val="0"/>
          <w:bCs/>
          <w:color w:val="000000" w:themeColor="text1"/>
          <w:sz w:val="32"/>
          <w:szCs w:val="32"/>
          <w14:textFill>
            <w14:solidFill>
              <w14:schemeClr w14:val="tx1"/>
            </w14:solidFill>
          </w14:textFill>
        </w:rPr>
        <w:t>全县</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相关社会</w:t>
      </w:r>
      <w:r>
        <w:rPr>
          <w:rFonts w:hint="eastAsia" w:ascii="仿宋_GB2312" w:hAnsi="仿宋_GB2312" w:eastAsia="仿宋_GB2312" w:cs="仿宋_GB2312"/>
          <w:b w:val="0"/>
          <w:bCs/>
          <w:color w:val="000000" w:themeColor="text1"/>
          <w:sz w:val="32"/>
          <w:szCs w:val="32"/>
          <w14:textFill>
            <w14:solidFill>
              <w14:schemeClr w14:val="tx1"/>
            </w14:solidFill>
          </w14:textFill>
        </w:rPr>
        <w:t>保险</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及补充保险</w:t>
      </w:r>
      <w:r>
        <w:rPr>
          <w:rFonts w:hint="eastAsia" w:ascii="仿宋_GB2312" w:hAnsi="仿宋_GB2312" w:eastAsia="仿宋_GB2312" w:cs="仿宋_GB2312"/>
          <w:b w:val="0"/>
          <w:bCs/>
          <w:color w:val="000000" w:themeColor="text1"/>
          <w:sz w:val="32"/>
          <w:szCs w:val="32"/>
          <w14:textFill>
            <w14:solidFill>
              <w14:schemeClr w14:val="tx1"/>
            </w14:solidFill>
          </w14:textFill>
        </w:rPr>
        <w:t>基金支付、管理、运营</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和监督</w:t>
      </w:r>
      <w:r>
        <w:rPr>
          <w:rFonts w:hint="eastAsia" w:ascii="仿宋_GB2312" w:hAnsi="仿宋_GB2312" w:eastAsia="仿宋_GB2312" w:cs="仿宋_GB2312"/>
          <w:b w:val="0"/>
          <w:bCs/>
          <w:color w:val="000000" w:themeColor="text1"/>
          <w:sz w:val="32"/>
          <w:szCs w:val="32"/>
          <w14:textFill>
            <w14:solidFill>
              <w14:schemeClr w14:val="tx1"/>
            </w14:solidFill>
          </w14:textFill>
        </w:rPr>
        <w:t>办法</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color w:val="auto"/>
          <w:sz w:val="32"/>
          <w:szCs w:val="32"/>
        </w:rPr>
        <w:t>拟</w:t>
      </w:r>
      <w:r>
        <w:rPr>
          <w:rFonts w:hint="eastAsia" w:ascii="仿宋_GB2312" w:hAnsi="仿宋_GB2312" w:eastAsia="仿宋_GB2312" w:cs="仿宋_GB2312"/>
          <w:b w:val="0"/>
          <w:bCs/>
          <w:color w:val="auto"/>
          <w:sz w:val="32"/>
          <w:szCs w:val="32"/>
          <w:lang w:val="en-US" w:eastAsia="zh-CN"/>
        </w:rPr>
        <w:t>订</w:t>
      </w:r>
      <w:r>
        <w:rPr>
          <w:rFonts w:hint="eastAsia" w:ascii="仿宋_GB2312" w:hAnsi="仿宋_GB2312" w:eastAsia="仿宋_GB2312" w:cs="仿宋_GB2312"/>
          <w:b w:val="0"/>
          <w:bCs/>
          <w:color w:val="auto"/>
          <w:sz w:val="32"/>
          <w:szCs w:val="32"/>
        </w:rPr>
        <w:t>全县</w:t>
      </w:r>
      <w:r>
        <w:rPr>
          <w:rFonts w:hint="eastAsia" w:ascii="仿宋_GB2312" w:hAnsi="仿宋_GB2312" w:eastAsia="仿宋_GB2312" w:cs="仿宋_GB2312"/>
          <w:b w:val="0"/>
          <w:bCs/>
          <w:color w:val="auto"/>
          <w:sz w:val="32"/>
          <w:szCs w:val="32"/>
          <w:lang w:eastAsia="zh-CN"/>
        </w:rPr>
        <w:t>相关社会保险</w:t>
      </w:r>
      <w:r>
        <w:rPr>
          <w:rFonts w:hint="eastAsia" w:ascii="仿宋_GB2312" w:hAnsi="仿宋_GB2312" w:eastAsia="仿宋_GB2312" w:cs="仿宋_GB2312"/>
          <w:b w:val="0"/>
          <w:bCs/>
          <w:color w:val="auto"/>
          <w:sz w:val="32"/>
          <w:szCs w:val="32"/>
        </w:rPr>
        <w:t>经办机构的管理规则，编制全</w:t>
      </w:r>
      <w:r>
        <w:rPr>
          <w:rFonts w:hint="eastAsia" w:ascii="仿宋_GB2312" w:hAnsi="仿宋_GB2312" w:eastAsia="仿宋_GB2312" w:cs="仿宋_GB2312"/>
          <w:b w:val="0"/>
          <w:bCs/>
          <w:color w:val="000000" w:themeColor="text1"/>
          <w:sz w:val="32"/>
          <w:szCs w:val="32"/>
          <w14:textFill>
            <w14:solidFill>
              <w14:schemeClr w14:val="tx1"/>
            </w14:solidFill>
          </w14:textFill>
        </w:rPr>
        <w:t>县</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养老、医疗、失业、工伤等</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相关社会保险</w:t>
      </w:r>
      <w:r>
        <w:rPr>
          <w:rFonts w:hint="eastAsia" w:ascii="仿宋_GB2312" w:hAnsi="仿宋_GB2312" w:eastAsia="仿宋_GB2312" w:cs="仿宋_GB2312"/>
          <w:b w:val="0"/>
          <w:bCs/>
          <w:color w:val="000000" w:themeColor="text1"/>
          <w:sz w:val="32"/>
          <w:szCs w:val="32"/>
          <w14:textFill>
            <w14:solidFill>
              <w14:schemeClr w14:val="tx1"/>
            </w14:solidFill>
          </w14:textFill>
        </w:rPr>
        <w:t>基金预决算草案</w:t>
      </w: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auto"/>
          <w:sz w:val="32"/>
          <w:szCs w:val="32"/>
          <w:lang w:val="en-US" w:eastAsia="zh-CN"/>
        </w:rPr>
        <w:t>拟订</w:t>
      </w:r>
      <w:r>
        <w:rPr>
          <w:rFonts w:hint="eastAsia" w:ascii="仿宋_GB2312" w:hAnsi="仿宋_GB2312" w:eastAsia="仿宋_GB2312" w:cs="仿宋_GB2312"/>
          <w:b w:val="0"/>
          <w:bCs/>
          <w:color w:val="auto"/>
          <w:sz w:val="32"/>
          <w:szCs w:val="32"/>
        </w:rPr>
        <w:t>全县</w:t>
      </w:r>
      <w:r>
        <w:rPr>
          <w:rFonts w:hint="eastAsia" w:ascii="仿宋_GB2312" w:hAnsi="仿宋_GB2312" w:eastAsia="仿宋_GB2312" w:cs="仿宋_GB2312"/>
          <w:b w:val="0"/>
          <w:bCs/>
          <w:color w:val="auto"/>
          <w:sz w:val="32"/>
          <w:szCs w:val="32"/>
          <w:lang w:eastAsia="zh-CN"/>
        </w:rPr>
        <w:t>人力资源和社会保险</w:t>
      </w:r>
      <w:r>
        <w:rPr>
          <w:rFonts w:hint="eastAsia" w:ascii="仿宋_GB2312" w:hAnsi="仿宋_GB2312" w:eastAsia="仿宋_GB2312" w:cs="仿宋_GB2312"/>
          <w:b w:val="0"/>
          <w:bCs/>
          <w:color w:val="auto"/>
          <w:sz w:val="32"/>
          <w:szCs w:val="32"/>
        </w:rPr>
        <w:t>服务体系建设规划</w:t>
      </w:r>
      <w:r>
        <w:rPr>
          <w:rFonts w:hint="eastAsia" w:ascii="仿宋_GB2312" w:hAnsi="仿宋_GB2312" w:eastAsia="仿宋_GB2312" w:cs="仿宋_GB2312"/>
          <w:b w:val="0"/>
          <w:bCs/>
          <w:color w:val="auto"/>
          <w:sz w:val="32"/>
          <w:szCs w:val="32"/>
          <w:lang w:eastAsia="zh-CN"/>
        </w:rPr>
        <w:t>并组织实施。负责规划实施全县医疗保障信息化</w:t>
      </w:r>
      <w:r>
        <w:rPr>
          <w:rFonts w:hint="eastAsia" w:ascii="仿宋_GB2312" w:hAnsi="仿宋_GB2312" w:eastAsia="仿宋_GB2312" w:cs="仿宋_GB2312"/>
          <w:b w:val="0"/>
          <w:bCs/>
          <w:color w:val="auto"/>
          <w:sz w:val="32"/>
          <w:szCs w:val="32"/>
        </w:rPr>
        <w:t>建设</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组织开展医疗保障数据管理和应用。</w:t>
      </w:r>
    </w:p>
    <w:p w14:paraId="3EC30D3E">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000000" w:themeColor="text1"/>
          <w:sz w:val="32"/>
          <w:szCs w:val="28"/>
          <w:highlight w:val="none"/>
          <w:lang w:eastAsia="zh-CN"/>
          <w14:textFill>
            <w14:solidFill>
              <w14:schemeClr w14:val="tx1"/>
            </w14:solidFill>
          </w14:textFill>
        </w:rPr>
      </w:pPr>
      <w:r>
        <w:rPr>
          <w:rFonts w:hint="eastAsia" w:ascii="仿宋_GB2312" w:hAnsi="仿宋_GB2312" w:eastAsia="仿宋_GB2312" w:cs="仿宋_GB2312"/>
          <w:b w:val="0"/>
          <w:bCs/>
          <w:color w:val="auto"/>
          <w:sz w:val="32"/>
          <w:szCs w:val="32"/>
        </w:rPr>
        <w:t>负责</w:t>
      </w:r>
      <w:r>
        <w:rPr>
          <w:rFonts w:hint="eastAsia" w:ascii="仿宋_GB2312" w:hAnsi="仿宋_GB2312" w:eastAsia="仿宋_GB2312" w:cs="仿宋_GB2312"/>
          <w:b w:val="0"/>
          <w:bCs/>
          <w:color w:val="auto"/>
          <w:sz w:val="32"/>
          <w:szCs w:val="32"/>
          <w:lang w:val="en-US" w:eastAsia="zh-CN"/>
        </w:rPr>
        <w:t>就业、失业和相关</w:t>
      </w:r>
      <w:r>
        <w:rPr>
          <w:rFonts w:hint="eastAsia" w:ascii="仿宋_GB2312" w:hAnsi="仿宋_GB2312" w:eastAsia="仿宋_GB2312" w:cs="仿宋_GB2312"/>
          <w:b w:val="0"/>
          <w:bCs/>
          <w:color w:val="auto"/>
          <w:sz w:val="32"/>
          <w:szCs w:val="32"/>
        </w:rPr>
        <w:t>社会保险基金预测预警和信息引导，拟订应对预案，实施预防、调节和控制，保持就业形势稳定和</w:t>
      </w:r>
      <w:r>
        <w:rPr>
          <w:rFonts w:hint="eastAsia" w:ascii="仿宋_GB2312" w:hAnsi="仿宋_GB2312" w:eastAsia="仿宋_GB2312" w:cs="仿宋_GB2312"/>
          <w:b w:val="0"/>
          <w:bCs/>
          <w:color w:val="auto"/>
          <w:sz w:val="32"/>
          <w:szCs w:val="32"/>
          <w:lang w:val="en-US" w:eastAsia="zh-CN"/>
        </w:rPr>
        <w:t>相关</w:t>
      </w:r>
      <w:r>
        <w:rPr>
          <w:rFonts w:hint="eastAsia" w:ascii="仿宋_GB2312" w:hAnsi="仿宋_GB2312" w:eastAsia="仿宋_GB2312" w:cs="仿宋_GB2312"/>
          <w:b w:val="0"/>
          <w:bCs/>
          <w:color w:val="auto"/>
          <w:sz w:val="32"/>
          <w:szCs w:val="32"/>
        </w:rPr>
        <w:t>社会保险基金总体收支平衡。</w:t>
      </w:r>
      <w:r>
        <w:rPr>
          <w:rFonts w:hint="eastAsia" w:ascii="仿宋_GB2312" w:hAnsi="仿宋_GB2312" w:eastAsia="仿宋_GB2312" w:cs="仿宋_GB2312"/>
          <w:b w:val="0"/>
          <w:bCs/>
          <w:color w:val="000000" w:themeColor="text1"/>
          <w:sz w:val="32"/>
          <w:szCs w:val="28"/>
          <w:highlight w:val="none"/>
          <w14:textFill>
            <w14:solidFill>
              <w14:schemeClr w14:val="tx1"/>
            </w14:solidFill>
          </w14:textFill>
        </w:rPr>
        <w:t>落实</w:t>
      </w:r>
      <w:r>
        <w:rPr>
          <w:rFonts w:hint="eastAsia" w:ascii="仿宋_GB2312" w:hAnsi="仿宋_GB2312" w:eastAsia="仿宋_GB2312" w:cs="仿宋_GB2312"/>
          <w:b w:val="0"/>
          <w:bCs/>
          <w:color w:val="000000" w:themeColor="text1"/>
          <w:sz w:val="32"/>
          <w:szCs w:val="28"/>
          <w:highlight w:val="none"/>
          <w:lang w:eastAsia="zh-CN"/>
          <w14:textFill>
            <w14:solidFill>
              <w14:schemeClr w14:val="tx1"/>
            </w14:solidFill>
          </w14:textFill>
        </w:rPr>
        <w:t>社会</w:t>
      </w:r>
      <w:r>
        <w:rPr>
          <w:rFonts w:hint="eastAsia" w:ascii="仿宋_GB2312" w:hAnsi="仿宋_GB2312" w:eastAsia="仿宋_GB2312" w:cs="仿宋_GB2312"/>
          <w:b w:val="0"/>
          <w:bCs/>
          <w:color w:val="000000" w:themeColor="text1"/>
          <w:sz w:val="32"/>
          <w:szCs w:val="28"/>
          <w:highlight w:val="none"/>
          <w14:textFill>
            <w14:solidFill>
              <w14:schemeClr w14:val="tx1"/>
            </w14:solidFill>
          </w14:textFill>
        </w:rPr>
        <w:t>保障基金监督管理制度，建立健全</w:t>
      </w:r>
      <w:r>
        <w:rPr>
          <w:rFonts w:hint="eastAsia" w:ascii="仿宋_GB2312" w:hAnsi="仿宋_GB2312" w:eastAsia="仿宋_GB2312" w:cs="仿宋_GB2312"/>
          <w:b w:val="0"/>
          <w:bCs/>
          <w:color w:val="000000" w:themeColor="text1"/>
          <w:sz w:val="32"/>
          <w:szCs w:val="28"/>
          <w:highlight w:val="none"/>
          <w:lang w:eastAsia="zh-CN"/>
          <w14:textFill>
            <w14:solidFill>
              <w14:schemeClr w14:val="tx1"/>
            </w14:solidFill>
          </w14:textFill>
        </w:rPr>
        <w:t>社会</w:t>
      </w:r>
      <w:r>
        <w:rPr>
          <w:rFonts w:hint="eastAsia" w:ascii="仿宋_GB2312" w:hAnsi="仿宋_GB2312" w:eastAsia="仿宋_GB2312" w:cs="仿宋_GB2312"/>
          <w:b w:val="0"/>
          <w:bCs/>
          <w:color w:val="000000" w:themeColor="text1"/>
          <w:sz w:val="32"/>
          <w:szCs w:val="28"/>
          <w:highlight w:val="none"/>
          <w14:textFill>
            <w14:solidFill>
              <w14:schemeClr w14:val="tx1"/>
            </w14:solidFill>
          </w14:textFill>
        </w:rPr>
        <w:t>保障基金安全防控机制，监督强化全县</w:t>
      </w:r>
      <w:r>
        <w:rPr>
          <w:rFonts w:hint="eastAsia" w:ascii="仿宋_GB2312" w:hAnsi="仿宋_GB2312" w:eastAsia="仿宋_GB2312" w:cs="仿宋_GB2312"/>
          <w:b w:val="0"/>
          <w:bCs/>
          <w:color w:val="000000" w:themeColor="text1"/>
          <w:sz w:val="32"/>
          <w:szCs w:val="28"/>
          <w:highlight w:val="none"/>
          <w:lang w:eastAsia="zh-CN"/>
          <w14:textFill>
            <w14:solidFill>
              <w14:schemeClr w14:val="tx1"/>
            </w14:solidFill>
          </w14:textFill>
        </w:rPr>
        <w:t>社会保障</w:t>
      </w:r>
      <w:r>
        <w:rPr>
          <w:rFonts w:hint="eastAsia" w:ascii="仿宋_GB2312" w:hAnsi="仿宋_GB2312" w:eastAsia="仿宋_GB2312" w:cs="仿宋_GB2312"/>
          <w:b w:val="0"/>
          <w:bCs/>
          <w:color w:val="000000" w:themeColor="text1"/>
          <w:sz w:val="32"/>
          <w:szCs w:val="28"/>
          <w:highlight w:val="none"/>
          <w14:textFill>
            <w14:solidFill>
              <w14:schemeClr w14:val="tx1"/>
            </w14:solidFill>
          </w14:textFill>
        </w:rPr>
        <w:t>基金运行管理。</w:t>
      </w:r>
      <w:r>
        <w:rPr>
          <w:rFonts w:hint="eastAsia" w:ascii="仿宋_GB2312" w:hAnsi="仿宋_GB2312" w:eastAsia="仿宋_GB2312" w:cs="仿宋_GB2312"/>
          <w:b w:val="0"/>
          <w:bCs/>
          <w:color w:val="000000" w:themeColor="text1"/>
          <w:sz w:val="32"/>
          <w:szCs w:val="28"/>
          <w:highlight w:val="none"/>
          <w:lang w:eastAsia="zh-CN"/>
          <w14:textFill>
            <w14:solidFill>
              <w14:schemeClr w14:val="tx1"/>
            </w14:solidFill>
          </w14:textFill>
        </w:rPr>
        <w:t>负责打击以欺诈、冒领、伪造证明材料或者其他手段骗取社会保险待遇的行为，推进社会保险信用体系建设，确保社会保险基金安全完整。</w:t>
      </w:r>
    </w:p>
    <w:p w14:paraId="69C04EDA">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贯彻落实</w:t>
      </w:r>
      <w:r>
        <w:rPr>
          <w:rFonts w:hint="eastAsia" w:ascii="仿宋_GB2312" w:hAnsi="仿宋_GB2312" w:eastAsia="仿宋_GB2312" w:cs="仿宋_GB2312"/>
          <w:b w:val="0"/>
          <w:bCs/>
          <w:color w:val="auto"/>
          <w:sz w:val="32"/>
          <w:szCs w:val="32"/>
        </w:rPr>
        <w:t>劳动、人事争议调解仲裁制度和劳动关系政策，完善劳动关系协调机制，贯彻职工工作时间、休息休假</w:t>
      </w:r>
      <w:r>
        <w:rPr>
          <w:rFonts w:hint="eastAsia" w:ascii="仿宋_GB2312" w:hAnsi="仿宋_GB2312" w:eastAsia="仿宋_GB2312" w:cs="仿宋_GB2312"/>
          <w:b w:val="0"/>
          <w:bCs/>
          <w:color w:val="auto"/>
          <w:sz w:val="32"/>
          <w:szCs w:val="32"/>
          <w:lang w:eastAsia="zh-CN"/>
        </w:rPr>
        <w:t>和假期</w:t>
      </w:r>
      <w:r>
        <w:rPr>
          <w:rFonts w:hint="eastAsia" w:ascii="仿宋_GB2312" w:hAnsi="仿宋_GB2312" w:eastAsia="仿宋_GB2312" w:cs="仿宋_GB2312"/>
          <w:b w:val="0"/>
          <w:bCs/>
          <w:color w:val="auto"/>
          <w:sz w:val="32"/>
          <w:szCs w:val="32"/>
        </w:rPr>
        <w:t>制度</w:t>
      </w:r>
      <w:r>
        <w:rPr>
          <w:rFonts w:hint="eastAsia" w:ascii="仿宋_GB2312" w:hAnsi="仿宋_GB2312" w:eastAsia="仿宋_GB2312" w:cs="仿宋_GB2312"/>
          <w:b w:val="0"/>
          <w:bCs/>
          <w:color w:val="auto"/>
          <w:sz w:val="32"/>
          <w:szCs w:val="32"/>
          <w:lang w:eastAsia="zh-CN"/>
        </w:rPr>
        <w:t>，落实消除</w:t>
      </w:r>
      <w:r>
        <w:rPr>
          <w:rFonts w:hint="eastAsia" w:ascii="仿宋_GB2312" w:hAnsi="仿宋_GB2312" w:eastAsia="仿宋_GB2312" w:cs="仿宋_GB2312"/>
          <w:b w:val="0"/>
          <w:bCs/>
          <w:color w:val="auto"/>
          <w:sz w:val="32"/>
          <w:szCs w:val="32"/>
        </w:rPr>
        <w:t>非法使用童工</w:t>
      </w:r>
      <w:r>
        <w:rPr>
          <w:rFonts w:hint="eastAsia" w:ascii="仿宋_GB2312" w:hAnsi="仿宋_GB2312" w:eastAsia="仿宋_GB2312" w:cs="仿宋_GB2312"/>
          <w:b w:val="0"/>
          <w:bCs/>
          <w:color w:val="auto"/>
          <w:sz w:val="32"/>
          <w:szCs w:val="32"/>
          <w:lang w:val="en-US" w:eastAsia="zh-CN"/>
        </w:rPr>
        <w:t>政策</w:t>
      </w:r>
      <w:r>
        <w:rPr>
          <w:rFonts w:hint="eastAsia" w:ascii="仿宋_GB2312" w:hAnsi="仿宋_GB2312" w:eastAsia="仿宋_GB2312" w:cs="仿宋_GB2312"/>
          <w:b w:val="0"/>
          <w:bCs/>
          <w:color w:val="auto"/>
          <w:sz w:val="32"/>
          <w:szCs w:val="32"/>
        </w:rPr>
        <w:t>和女工、未成年工的特殊劳动保护政策，依法督促用人单位在劳动用工、合同签订与履约时，载明劳动保护、劳动条件和职业危害防护等条款。组织实施劳动监察，协调劳动者维权工作，依法查处重大案件</w:t>
      </w:r>
      <w:r>
        <w:rPr>
          <w:rFonts w:hint="eastAsia" w:ascii="仿宋_GB2312" w:hAnsi="仿宋_GB2312" w:eastAsia="仿宋_GB2312" w:cs="仿宋_GB2312"/>
          <w:b w:val="0"/>
          <w:bCs/>
          <w:color w:val="auto"/>
          <w:sz w:val="32"/>
          <w:szCs w:val="32"/>
          <w:lang w:eastAsia="zh-CN"/>
        </w:rPr>
        <w:t>。</w:t>
      </w:r>
    </w:p>
    <w:p w14:paraId="374766BB">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牵头推进深化职称制度改革，</w:t>
      </w:r>
      <w:r>
        <w:rPr>
          <w:rFonts w:hint="eastAsia" w:ascii="仿宋_GB2312" w:hAnsi="仿宋_GB2312" w:eastAsia="仿宋_GB2312" w:cs="仿宋_GB2312"/>
          <w:b w:val="0"/>
          <w:bCs/>
          <w:color w:val="auto"/>
          <w:sz w:val="32"/>
          <w:szCs w:val="32"/>
          <w:lang w:eastAsia="zh-CN"/>
        </w:rPr>
        <w:t>执行</w:t>
      </w:r>
      <w:r>
        <w:rPr>
          <w:rFonts w:hint="eastAsia" w:ascii="仿宋_GB2312" w:hAnsi="仿宋_GB2312" w:eastAsia="仿宋_GB2312" w:cs="仿宋_GB2312"/>
          <w:b w:val="0"/>
          <w:bCs/>
          <w:color w:val="auto"/>
          <w:sz w:val="32"/>
          <w:szCs w:val="32"/>
        </w:rPr>
        <w:t>专业技术人员管理、继续教育和博士后管理等政策，负责专业技术人才选拔和培养工作。拟订技能人才培养、评价、使用和激励制度。贯彻落实职业资格制度</w:t>
      </w:r>
      <w:r>
        <w:rPr>
          <w:rFonts w:hint="eastAsia" w:ascii="仿宋_GB2312" w:hAnsi="仿宋_GB2312" w:eastAsia="仿宋_GB2312" w:cs="仿宋_GB2312"/>
          <w:b w:val="0"/>
          <w:bCs/>
          <w:color w:val="auto"/>
          <w:sz w:val="32"/>
          <w:szCs w:val="32"/>
          <w:lang w:eastAsia="zh-CN"/>
        </w:rPr>
        <w:t>并组织和监督落实</w:t>
      </w: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auto"/>
          <w:sz w:val="32"/>
          <w:szCs w:val="32"/>
          <w:lang w:eastAsia="zh-CN"/>
        </w:rPr>
        <w:t>以及</w:t>
      </w:r>
      <w:r>
        <w:rPr>
          <w:rFonts w:hint="eastAsia" w:ascii="仿宋_GB2312" w:hAnsi="仿宋_GB2312" w:eastAsia="仿宋_GB2312" w:cs="仿宋_GB2312"/>
          <w:b w:val="0"/>
          <w:bCs/>
          <w:color w:val="auto"/>
          <w:sz w:val="32"/>
          <w:szCs w:val="32"/>
        </w:rPr>
        <w:t>职业技能多元化评价政策。指导、监督各类技工学校、民办职业培训机构按国家和省、州有关规定履行安全管理责任。</w:t>
      </w:r>
    </w:p>
    <w:p w14:paraId="471E9843">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会同有关部门指导事业单位人事制度改革，按照管理权限负责规范事业单位岗位设置、公开招聘、聘用合同等人事综合管理工作，落实规范事业单位工作人员和机关工勤人员管理政策。会同有关部门</w:t>
      </w:r>
      <w:r>
        <w:rPr>
          <w:rFonts w:hint="eastAsia" w:ascii="仿宋_GB2312" w:hAnsi="仿宋_GB2312" w:eastAsia="仿宋_GB2312" w:cs="仿宋_GB2312"/>
          <w:b w:val="0"/>
          <w:bCs/>
          <w:color w:val="auto"/>
          <w:sz w:val="32"/>
          <w:szCs w:val="32"/>
          <w:lang w:eastAsia="zh-CN"/>
        </w:rPr>
        <w:t>执行</w:t>
      </w:r>
      <w:r>
        <w:rPr>
          <w:rFonts w:hint="eastAsia" w:ascii="仿宋_GB2312" w:hAnsi="仿宋_GB2312" w:eastAsia="仿宋_GB2312" w:cs="仿宋_GB2312"/>
          <w:b w:val="0"/>
          <w:bCs/>
          <w:color w:val="auto"/>
          <w:sz w:val="32"/>
          <w:szCs w:val="32"/>
        </w:rPr>
        <w:t>事业单位人员工资收入分配政策，建立企事业单位人员工资决定、正常增长和支付保障机制。</w:t>
      </w:r>
      <w:r>
        <w:rPr>
          <w:rFonts w:hint="eastAsia" w:ascii="仿宋_GB2312" w:hAnsi="仿宋_GB2312" w:eastAsia="仿宋_GB2312" w:cs="仿宋_GB2312"/>
          <w:b w:val="0"/>
          <w:bCs/>
          <w:color w:val="auto"/>
          <w:sz w:val="32"/>
          <w:szCs w:val="32"/>
          <w:lang w:eastAsia="zh-CN"/>
        </w:rPr>
        <w:t>贯彻执行</w:t>
      </w:r>
      <w:r>
        <w:rPr>
          <w:rFonts w:hint="eastAsia" w:ascii="仿宋_GB2312" w:hAnsi="仿宋_GB2312" w:eastAsia="仿宋_GB2312" w:cs="仿宋_GB2312"/>
          <w:b w:val="0"/>
          <w:bCs/>
          <w:color w:val="auto"/>
          <w:sz w:val="32"/>
          <w:szCs w:val="32"/>
        </w:rPr>
        <w:t>企事业单位人员福利和离退休政策。</w:t>
      </w:r>
    </w:p>
    <w:p w14:paraId="1AB64603">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组织实施国家表彰奖励制度，综合管理政府表彰奖励工作，承担评比达标表彰等工作，根据授权承办以县委、县政府名义开展的县级表彰奖励活动。</w:t>
      </w:r>
    </w:p>
    <w:p w14:paraId="7475D7BC">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会同有关部门拟订农民工工作综合性规划</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推动相关政策的落实，协调解决重点难点问题，维护农民工合法权益。</w:t>
      </w:r>
    </w:p>
    <w:p w14:paraId="4DE1B627">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贯彻执行医疗保障筹资和待遇政策，完善动态调整和区域调剂平衡机制，统筹城乡医疗保障待遇标准，建立健全与筹资水平相适应的待遇调整机制。组织实施长期护理保险制度改革。负责全县医疗保障经办管理和公共服务体系建设。</w:t>
      </w:r>
    </w:p>
    <w:p w14:paraId="1C157103">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贯彻落实全省城乡统一的药品、医用耗材、医疗服务项目、医疗服务设施等医疗保障目录和支付标准并监督管理。落实特殊医用材料、特殊检查和治疗、医院制剂等相关目录和支付标准并监督实施。贯彻落实药品、医用耗材价格</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及</w:t>
      </w:r>
      <w:r>
        <w:rPr>
          <w:rFonts w:hint="eastAsia" w:ascii="仿宋_GB2312" w:hAnsi="仿宋_GB2312" w:eastAsia="仿宋_GB2312" w:cs="仿宋_GB2312"/>
          <w:b w:val="0"/>
          <w:bCs/>
          <w:color w:val="000000" w:themeColor="text1"/>
          <w:sz w:val="32"/>
          <w:szCs w:val="32"/>
          <w14:textFill>
            <w14:solidFill>
              <w14:schemeClr w14:val="tx1"/>
            </w14:solidFill>
          </w14:textFill>
        </w:rPr>
        <w:t>集中采购政策并监督管理。落实医疗服务项目、医疗服务设施收费等政策。</w:t>
      </w:r>
    </w:p>
    <w:p w14:paraId="4EA4515B">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推进医疗保障基金支付方式改革，拟订全县定点医药机构服务协议和支付管理办法并组织实施，建立健全医疗保障信用评价体系和信息披露制度，监督管理纳入医疗保障范围内的医疗服务行为和医疗费用，依法查处医疗保障领域违法违规行为。贯彻执行异地就医管理和费用结算政策。</w:t>
      </w:r>
    </w:p>
    <w:p w14:paraId="5519536A">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负责人力资源和社会保障领域的对外交流与合作工作。</w:t>
      </w:r>
    </w:p>
    <w:p w14:paraId="44D226D1">
      <w:pPr>
        <w:keepNext w:val="0"/>
        <w:keepLines w:val="0"/>
        <w:pageBreakBefore w:val="0"/>
        <w:widowControl w:val="0"/>
        <w:numPr>
          <w:ilvl w:val="0"/>
          <w:numId w:val="2"/>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承担职责范围内的安全生产和职业健康、生态环境保护、行政审批、行政执法等工作。</w:t>
      </w:r>
    </w:p>
    <w:p w14:paraId="057F0E3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（三）人员概况</w:t>
      </w:r>
    </w:p>
    <w:p w14:paraId="50BFE50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 w:eastAsia="仿宋_GB2312"/>
          <w:sz w:val="32"/>
          <w:szCs w:val="32"/>
          <w:lang w:val="en-US" w:eastAsia="zh-CN"/>
        </w:rPr>
        <w:t>本局</w:t>
      </w:r>
      <w:r>
        <w:rPr>
          <w:rFonts w:hint="eastAsia" w:ascii="仿宋_GB2312" w:hAnsi="仿宋_GB2312" w:eastAsia="仿宋_GB2312" w:cs="仿宋_GB2312"/>
          <w:color w:val="auto"/>
          <w:sz w:val="32"/>
          <w:szCs w:val="32"/>
        </w:rPr>
        <w:t>总编制</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名，其中：行政编制</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名，事业编制</w:t>
      </w: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rPr>
        <w:t>名，工勤编制</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名；在职人员总数</w:t>
      </w:r>
      <w:r>
        <w:rPr>
          <w:rFonts w:hint="eastAsia" w:ascii="仿宋_GB2312" w:hAnsi="仿宋_GB2312" w:eastAsia="仿宋_GB2312" w:cs="仿宋_GB2312"/>
          <w:color w:val="auto"/>
          <w:sz w:val="32"/>
          <w:szCs w:val="32"/>
          <w:lang w:val="en-US" w:eastAsia="zh-CN"/>
        </w:rPr>
        <w:t>36</w:t>
      </w:r>
      <w:r>
        <w:rPr>
          <w:rFonts w:hint="eastAsia" w:ascii="仿宋_GB2312" w:hAnsi="仿宋_GB2312" w:eastAsia="仿宋_GB2312" w:cs="仿宋_GB2312"/>
          <w:color w:val="auto"/>
          <w:sz w:val="32"/>
          <w:szCs w:val="32"/>
        </w:rPr>
        <w:t>人，其中行政人员</w:t>
      </w: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rPr>
        <w:t>人，事业人员</w:t>
      </w: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rPr>
        <w:t>人；退休人员</w:t>
      </w:r>
      <w:r>
        <w:rPr>
          <w:rFonts w:hint="eastAsia" w:ascii="仿宋_GB2312" w:hAnsi="仿宋_GB2312" w:eastAsia="仿宋_GB2312" w:cs="仿宋_GB2312"/>
          <w:color w:val="auto"/>
          <w:sz w:val="32"/>
          <w:szCs w:val="32"/>
          <w:lang w:val="en-US" w:eastAsia="zh-CN"/>
        </w:rPr>
        <w:t>17</w:t>
      </w:r>
      <w:r>
        <w:rPr>
          <w:rFonts w:hint="eastAsia" w:ascii="仿宋_GB2312" w:hAnsi="仿宋_GB2312" w:eastAsia="仿宋_GB2312" w:cs="仿宋_GB2312"/>
          <w:color w:val="auto"/>
          <w:sz w:val="32"/>
          <w:szCs w:val="32"/>
        </w:rPr>
        <w:t>人。</w:t>
      </w:r>
    </w:p>
    <w:p w14:paraId="1B6487C0">
      <w:pPr>
        <w:keepNext w:val="0"/>
        <w:keepLines w:val="0"/>
        <w:pageBreakBefore w:val="0"/>
        <w:widowControl w:val="0"/>
        <w:numPr>
          <w:ilvl w:val="0"/>
          <w:numId w:val="3"/>
        </w:numPr>
        <w:pBdr>
          <w:bottom w:val="single" w:color="FFFFFF" w:sz="4" w:space="31"/>
        </w:pBdr>
        <w:tabs>
          <w:tab w:val="left" w:pos="1440"/>
        </w:tabs>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部门财政资金收支情况</w:t>
      </w:r>
    </w:p>
    <w:p w14:paraId="72B66269">
      <w:pPr>
        <w:keepNext w:val="0"/>
        <w:keepLines w:val="0"/>
        <w:pageBreakBefore w:val="0"/>
        <w:widowControl w:val="0"/>
        <w:numPr>
          <w:ilvl w:val="0"/>
          <w:numId w:val="4"/>
        </w:numPr>
        <w:pBdr>
          <w:bottom w:val="single" w:color="FFFFFF" w:sz="4" w:space="31"/>
        </w:pBdr>
        <w:tabs>
          <w:tab w:val="left" w:pos="1440"/>
        </w:tabs>
        <w:kinsoku/>
        <w:wordWrap/>
        <w:overflowPunct/>
        <w:topLinePunct w:val="0"/>
        <w:autoSpaceDE/>
        <w:autoSpaceDN/>
        <w:bidi w:val="0"/>
        <w:adjustRightInd w:val="0"/>
        <w:snapToGrid/>
        <w:spacing w:line="560" w:lineRule="exact"/>
        <w:ind w:firstLine="643" w:firstLineChars="200"/>
        <w:textAlignment w:val="auto"/>
        <w:outlineLvl w:val="9"/>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部门财政资金收入情况</w:t>
      </w:r>
    </w:p>
    <w:p w14:paraId="348883C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 w:eastAsia="仿宋_GB2312" w:cs="仿宋_GB2312"/>
          <w:sz w:val="32"/>
          <w:szCs w:val="32"/>
          <w:lang w:val="en-US" w:eastAsia="zh-CN"/>
        </w:rPr>
      </w:pPr>
      <w:r>
        <w:rPr>
          <w:rFonts w:hint="eastAsia" w:ascii="仿宋_GB2312" w:hAnsi="仿宋_GB2312" w:eastAsia="仿宋_GB2312" w:cs="仿宋_GB2312"/>
          <w:color w:val="auto"/>
          <w:kern w:val="0"/>
          <w:sz w:val="32"/>
          <w:szCs w:val="32"/>
          <w:lang w:val="en-US" w:eastAsia="zh-CN"/>
        </w:rPr>
        <w:t>本单位</w:t>
      </w:r>
      <w:r>
        <w:rPr>
          <w:rFonts w:hint="eastAsia" w:ascii="仿宋_GB2312" w:eastAsia="仿宋_GB2312"/>
          <w:color w:val="000000"/>
          <w:sz w:val="32"/>
          <w:szCs w:val="32"/>
          <w:shd w:val="clear" w:color="auto" w:fill="auto"/>
          <w:lang w:eastAsia="zh-CN"/>
        </w:rPr>
        <w:t>202</w:t>
      </w:r>
      <w:r>
        <w:rPr>
          <w:rFonts w:hint="eastAsia" w:ascii="仿宋_GB2312" w:eastAsia="仿宋_GB2312"/>
          <w:color w:val="000000"/>
          <w:sz w:val="32"/>
          <w:szCs w:val="32"/>
          <w:shd w:val="clear" w:color="auto" w:fill="auto"/>
          <w:lang w:val="en-US" w:eastAsia="zh-CN"/>
        </w:rPr>
        <w:t>4</w:t>
      </w:r>
      <w:r>
        <w:rPr>
          <w:rFonts w:hint="eastAsia" w:ascii="仿宋_GB2312" w:eastAsia="仿宋_GB2312"/>
          <w:color w:val="000000"/>
          <w:sz w:val="32"/>
          <w:szCs w:val="32"/>
          <w:shd w:val="clear" w:color="auto" w:fill="auto"/>
        </w:rPr>
        <w:t>年</w:t>
      </w:r>
      <w:r>
        <w:rPr>
          <w:rFonts w:hint="eastAsia" w:ascii="仿宋_GB2312" w:eastAsia="仿宋_GB2312"/>
          <w:color w:val="000000"/>
          <w:sz w:val="32"/>
          <w:szCs w:val="32"/>
          <w:shd w:val="clear" w:color="auto" w:fill="auto"/>
          <w:lang w:eastAsia="zh-CN"/>
        </w:rPr>
        <w:t>全年总收入</w:t>
      </w:r>
      <w:r>
        <w:rPr>
          <w:rFonts w:hint="eastAsia" w:ascii="仿宋_GB2312" w:eastAsia="仿宋_GB2312"/>
          <w:color w:val="000000"/>
          <w:sz w:val="32"/>
          <w:szCs w:val="32"/>
          <w:shd w:val="clear" w:color="auto" w:fill="auto"/>
          <w:lang w:val="en-US" w:eastAsia="zh-CN"/>
        </w:rPr>
        <w:t>561.91</w:t>
      </w:r>
      <w:r>
        <w:rPr>
          <w:rFonts w:hint="eastAsia" w:ascii="仿宋_GB2312" w:eastAsia="仿宋_GB2312"/>
          <w:color w:val="000000"/>
          <w:sz w:val="32"/>
          <w:szCs w:val="32"/>
          <w:shd w:val="clear" w:color="auto" w:fill="auto"/>
        </w:rPr>
        <w:t>万元，</w:t>
      </w:r>
      <w:r>
        <w:rPr>
          <w:rFonts w:hint="eastAsia" w:ascii="仿宋_GB2312" w:hAnsi="仿宋" w:eastAsia="仿宋_GB2312" w:cs="仿宋_GB2312"/>
          <w:sz w:val="32"/>
          <w:szCs w:val="32"/>
          <w:lang w:val="en-US" w:eastAsia="zh-CN"/>
        </w:rPr>
        <w:t>社会保障和就业支出367.29万元，占64.36%；卫生健康支出165.54万元，占29.46%；住房保障支出29.08万元，占5.18%。</w:t>
      </w:r>
    </w:p>
    <w:p w14:paraId="1BDE3D7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部门财政资金支出情况</w:t>
      </w:r>
    </w:p>
    <w:p w14:paraId="149EFD9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本单位2023年全年总支出561.91万元，其中：基本支出416.47万元，占总支出的74.12%，其中：人员经费支出377.60万元、日常公用经费支出38.86万元；项目支出145.44万元，占总支出的25.88%。</w:t>
      </w:r>
    </w:p>
    <w:p w14:paraId="6FB5E17F">
      <w:pPr>
        <w:keepNext w:val="0"/>
        <w:keepLines w:val="0"/>
        <w:pageBreakBefore w:val="0"/>
        <w:widowControl w:val="0"/>
        <w:numPr>
          <w:ilvl w:val="0"/>
          <w:numId w:val="3"/>
        </w:numPr>
        <w:pBdr>
          <w:bottom w:val="single" w:color="FFFFFF" w:sz="4" w:space="31"/>
        </w:pBdr>
        <w:tabs>
          <w:tab w:val="left" w:pos="1440"/>
        </w:tabs>
        <w:kinsoku/>
        <w:wordWrap/>
        <w:overflowPunct/>
        <w:topLinePunct w:val="0"/>
        <w:autoSpaceDE/>
        <w:autoSpaceDN/>
        <w:bidi w:val="0"/>
        <w:adjustRightInd w:val="0"/>
        <w:snapToGrid/>
        <w:spacing w:line="560" w:lineRule="exact"/>
        <w:ind w:left="0" w:leftChars="0" w:firstLine="640" w:firstLineChars="200"/>
        <w:textAlignment w:val="auto"/>
        <w:outlineLvl w:val="9"/>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部门整体预算绩效管理情况</w:t>
      </w:r>
    </w:p>
    <w:p w14:paraId="3741E316">
      <w:pPr>
        <w:keepNext w:val="0"/>
        <w:keepLines w:val="0"/>
        <w:pageBreakBefore w:val="0"/>
        <w:widowControl w:val="0"/>
        <w:numPr>
          <w:ilvl w:val="0"/>
          <w:numId w:val="5"/>
        </w:numPr>
        <w:pBdr>
          <w:bottom w:val="single" w:color="FFFFFF" w:sz="4" w:space="31"/>
        </w:pBdr>
        <w:tabs>
          <w:tab w:val="left" w:pos="1440"/>
        </w:tabs>
        <w:kinsoku/>
        <w:wordWrap/>
        <w:overflowPunct/>
        <w:topLinePunct w:val="0"/>
        <w:autoSpaceDE/>
        <w:autoSpaceDN/>
        <w:bidi w:val="0"/>
        <w:adjustRightInd w:val="0"/>
        <w:snapToGrid/>
        <w:spacing w:line="560"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部门预算管理</w:t>
      </w:r>
    </w:p>
    <w:p w14:paraId="20246C8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2024</w:t>
      </w:r>
      <w:r>
        <w:rPr>
          <w:rFonts w:hint="eastAsia" w:ascii="仿宋_GB2312" w:hAnsi="仿宋_GB2312" w:eastAsia="仿宋_GB2312" w:cs="仿宋_GB2312"/>
          <w:color w:val="auto"/>
          <w:kern w:val="0"/>
          <w:sz w:val="32"/>
          <w:szCs w:val="32"/>
          <w:lang w:val="zh-CN" w:eastAsia="zh-CN"/>
        </w:rPr>
        <w:t>年我局严格按照财政局下发的文件要求进行预</w:t>
      </w:r>
      <w:r>
        <w:rPr>
          <w:rFonts w:hint="eastAsia" w:ascii="仿宋_GB2312" w:hAnsi="仿宋_GB2312" w:eastAsia="仿宋_GB2312" w:cs="仿宋_GB2312"/>
          <w:color w:val="auto"/>
          <w:kern w:val="0"/>
          <w:sz w:val="32"/>
          <w:szCs w:val="32"/>
          <w:lang w:val="en-US" w:eastAsia="zh-CN"/>
        </w:rPr>
        <w:t>决</w:t>
      </w:r>
      <w:r>
        <w:rPr>
          <w:rFonts w:hint="eastAsia" w:ascii="仿宋_GB2312" w:hAnsi="仿宋_GB2312" w:eastAsia="仿宋_GB2312" w:cs="仿宋_GB2312"/>
          <w:color w:val="auto"/>
          <w:kern w:val="0"/>
          <w:sz w:val="32"/>
          <w:szCs w:val="32"/>
          <w:lang w:val="zh-CN" w:eastAsia="zh-CN"/>
        </w:rPr>
        <w:t>算编制工作，</w:t>
      </w:r>
      <w:r>
        <w:rPr>
          <w:rFonts w:hint="eastAsia" w:ascii="仿宋_GB2312" w:hAnsi="仿宋_GB2312" w:eastAsia="仿宋_GB2312" w:cs="仿宋_GB2312"/>
          <w:color w:val="auto"/>
          <w:kern w:val="0"/>
          <w:sz w:val="32"/>
          <w:szCs w:val="32"/>
          <w:lang w:val="en-US" w:eastAsia="zh-CN"/>
        </w:rPr>
        <w:t>并及时进行2024年预算、2023年决算情况政务公开，无违规情况。</w:t>
      </w:r>
    </w:p>
    <w:p w14:paraId="5F67A02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zh-CN" w:eastAsia="zh-CN"/>
        </w:rPr>
        <w:t>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的工作。</w:t>
      </w:r>
      <w:r>
        <w:rPr>
          <w:rFonts w:hint="eastAsia" w:ascii="仿宋_GB2312" w:hAnsi="仿宋_GB2312" w:eastAsia="仿宋_GB2312" w:cs="仿宋_GB2312"/>
          <w:color w:val="auto"/>
          <w:kern w:val="0"/>
          <w:sz w:val="32"/>
          <w:szCs w:val="32"/>
          <w:lang w:val="en-US" w:eastAsia="zh-CN"/>
        </w:rPr>
        <w:t xml:space="preserve"> </w:t>
      </w:r>
    </w:p>
    <w:p w14:paraId="697E6890">
      <w:pPr>
        <w:keepNext w:val="0"/>
        <w:keepLines w:val="0"/>
        <w:pageBreakBefore w:val="0"/>
        <w:widowControl w:val="0"/>
        <w:numPr>
          <w:ilvl w:val="0"/>
          <w:numId w:val="5"/>
        </w:numPr>
        <w:pBdr>
          <w:bottom w:val="single" w:color="FFFFFF" w:sz="4" w:space="31"/>
        </w:pBdr>
        <w:tabs>
          <w:tab w:val="left" w:pos="1440"/>
        </w:tabs>
        <w:kinsoku/>
        <w:wordWrap/>
        <w:overflowPunct/>
        <w:topLinePunct w:val="0"/>
        <w:autoSpaceDE/>
        <w:autoSpaceDN/>
        <w:bidi w:val="0"/>
        <w:adjustRightInd w:val="0"/>
        <w:snapToGrid/>
        <w:spacing w:line="560" w:lineRule="exact"/>
        <w:ind w:left="0" w:leftChars="0"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专项预算管理</w:t>
      </w:r>
    </w:p>
    <w:p w14:paraId="49C87EFA">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lang w:val="zh-CN" w:eastAsia="zh-CN"/>
        </w:rPr>
      </w:pPr>
      <w:r>
        <w:rPr>
          <w:rFonts w:hint="eastAsia" w:ascii="仿宋_GB2312" w:hAnsi="仿宋_GB2312" w:eastAsia="仿宋_GB2312" w:cs="仿宋_GB2312"/>
          <w:color w:val="auto"/>
          <w:kern w:val="0"/>
          <w:sz w:val="32"/>
          <w:szCs w:val="32"/>
          <w:lang w:val="zh-CN" w:eastAsia="zh-CN"/>
        </w:rPr>
        <w:t>我局</w:t>
      </w:r>
      <w:r>
        <w:rPr>
          <w:rFonts w:hint="eastAsia" w:ascii="仿宋_GB2312" w:hAnsi="仿宋_GB2312" w:eastAsia="仿宋_GB2312" w:cs="仿宋_GB2312"/>
          <w:color w:val="auto"/>
          <w:kern w:val="0"/>
          <w:sz w:val="32"/>
          <w:szCs w:val="32"/>
          <w:lang w:val="en-US" w:eastAsia="zh-CN"/>
        </w:rPr>
        <w:t>正确把握专项资金的使用范围，</w:t>
      </w:r>
      <w:r>
        <w:rPr>
          <w:rFonts w:hint="eastAsia" w:ascii="仿宋_GB2312" w:hAnsi="仿宋_GB2312" w:eastAsia="仿宋_GB2312" w:cs="仿宋_GB2312"/>
          <w:color w:val="auto"/>
          <w:kern w:val="0"/>
          <w:sz w:val="32"/>
          <w:szCs w:val="32"/>
          <w:lang w:val="zh-CN" w:eastAsia="zh-CN"/>
        </w:rPr>
        <w:t>专项资金的使用严格按照资金拨付程序、年度项目计划和项目进度进行拨付，实行专账核算，严格遵守财务内审监督制度和审批程序办理专项资金的申报、分配和拨付。</w:t>
      </w:r>
      <w:bookmarkStart w:id="1" w:name="_GoBack"/>
      <w:bookmarkEnd w:id="1"/>
    </w:p>
    <w:p w14:paraId="58CDAD76">
      <w:pPr>
        <w:keepNext w:val="0"/>
        <w:keepLines w:val="0"/>
        <w:pageBreakBefore w:val="0"/>
        <w:widowControl w:val="0"/>
        <w:numPr>
          <w:ilvl w:val="0"/>
          <w:numId w:val="5"/>
        </w:numPr>
        <w:pBdr>
          <w:bottom w:val="single" w:color="FFFFFF" w:sz="4" w:space="31"/>
        </w:pBdr>
        <w:tabs>
          <w:tab w:val="left" w:pos="1440"/>
        </w:tabs>
        <w:kinsoku/>
        <w:wordWrap/>
        <w:overflowPunct/>
        <w:topLinePunct w:val="0"/>
        <w:autoSpaceDE/>
        <w:autoSpaceDN/>
        <w:bidi w:val="0"/>
        <w:adjustRightInd w:val="0"/>
        <w:snapToGrid/>
        <w:spacing w:line="560" w:lineRule="exact"/>
        <w:ind w:left="0" w:leftChars="0"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结果应用情况</w:t>
      </w:r>
    </w:p>
    <w:p w14:paraId="31F5FE2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根据部门整体支出绩效评价指标体系，我局2024年度自评综合得分93分，部门整体支出绩效情况良好，职工满意度较好。</w:t>
      </w:r>
    </w:p>
    <w:p w14:paraId="1254D80A">
      <w:pPr>
        <w:keepNext w:val="0"/>
        <w:keepLines w:val="0"/>
        <w:pageBreakBefore w:val="0"/>
        <w:widowControl w:val="0"/>
        <w:numPr>
          <w:ilvl w:val="0"/>
          <w:numId w:val="3"/>
        </w:numPr>
        <w:pBdr>
          <w:bottom w:val="single" w:color="FFFFFF" w:sz="4" w:space="31"/>
        </w:pBdr>
        <w:tabs>
          <w:tab w:val="left" w:pos="1440"/>
        </w:tabs>
        <w:kinsoku/>
        <w:wordWrap/>
        <w:overflowPunct/>
        <w:topLinePunct w:val="0"/>
        <w:autoSpaceDE/>
        <w:autoSpaceDN/>
        <w:bidi w:val="0"/>
        <w:adjustRightInd w:val="0"/>
        <w:snapToGrid/>
        <w:spacing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评价结论及建议</w:t>
      </w:r>
    </w:p>
    <w:p w14:paraId="0A9EFCDB">
      <w:pPr>
        <w:keepNext w:val="0"/>
        <w:keepLines w:val="0"/>
        <w:pageBreakBefore w:val="0"/>
        <w:widowControl w:val="0"/>
        <w:numPr>
          <w:ilvl w:val="0"/>
          <w:numId w:val="6"/>
        </w:numPr>
        <w:pBdr>
          <w:bottom w:val="single" w:color="FFFFFF" w:sz="4" w:space="31"/>
        </w:pBdr>
        <w:tabs>
          <w:tab w:val="left" w:pos="1440"/>
        </w:tabs>
        <w:kinsoku/>
        <w:wordWrap/>
        <w:overflowPunct/>
        <w:topLinePunct w:val="0"/>
        <w:autoSpaceDE/>
        <w:autoSpaceDN/>
        <w:bidi w:val="0"/>
        <w:adjustRightInd w:val="0"/>
        <w:snapToGrid/>
        <w:spacing w:line="560" w:lineRule="exact"/>
        <w:ind w:firstLine="643" w:firstLineChars="200"/>
        <w:textAlignment w:val="auto"/>
        <w:outlineLvl w:val="9"/>
        <w:rPr>
          <w:rFonts w:hint="eastAsia" w:ascii="楷体_GB2312" w:hAnsi="楷体_GB2312" w:eastAsia="楷体_GB2312" w:cs="楷体_GB2312"/>
          <w:b/>
          <w:bCs/>
          <w:color w:val="auto"/>
          <w:kern w:val="0"/>
          <w:sz w:val="32"/>
          <w:szCs w:val="32"/>
          <w:lang w:val="zh-CN" w:eastAsia="zh-CN"/>
        </w:rPr>
      </w:pPr>
      <w:r>
        <w:rPr>
          <w:rFonts w:hint="eastAsia" w:ascii="楷体_GB2312" w:hAnsi="楷体_GB2312" w:eastAsia="楷体_GB2312" w:cs="楷体_GB2312"/>
          <w:b/>
          <w:bCs/>
          <w:sz w:val="32"/>
          <w:szCs w:val="32"/>
        </w:rPr>
        <w:t>评价结论</w:t>
      </w:r>
    </w:p>
    <w:p w14:paraId="57F38F8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lang w:val="zh-CN" w:eastAsia="zh-CN"/>
        </w:rPr>
      </w:pPr>
      <w:r>
        <w:rPr>
          <w:rFonts w:hint="eastAsia" w:ascii="仿宋_GB2312" w:hAnsi="仿宋_GB2312" w:eastAsia="仿宋_GB2312" w:cs="仿宋_GB2312"/>
          <w:color w:val="auto"/>
          <w:kern w:val="0"/>
          <w:sz w:val="32"/>
          <w:szCs w:val="32"/>
          <w:lang w:val="en-US" w:eastAsia="zh-CN"/>
        </w:rPr>
        <w:t>2024年，我局切实加强预算收支资金管理，完善健全内部管理制度，针对本年度单位财务绩效采用多种评价方法，如比较分析、趋势分析、财务模型等进行财务数据的分析整理，以获得更全面、准确的评价结果。</w:t>
      </w:r>
      <w:r>
        <w:rPr>
          <w:rFonts w:hint="eastAsia" w:ascii="仿宋_GB2312" w:hAnsi="仿宋_GB2312" w:eastAsia="仿宋_GB2312" w:cs="仿宋_GB2312"/>
          <w:color w:val="auto"/>
          <w:kern w:val="0"/>
          <w:sz w:val="32"/>
          <w:szCs w:val="32"/>
          <w:lang w:val="zh-CN" w:eastAsia="zh-CN"/>
        </w:rPr>
        <w:t>在总结</w:t>
      </w:r>
      <w:r>
        <w:rPr>
          <w:rFonts w:hint="eastAsia" w:ascii="仿宋_GB2312" w:hAnsi="仿宋_GB2312" w:eastAsia="仿宋_GB2312" w:cs="仿宋_GB2312"/>
          <w:color w:val="auto"/>
          <w:kern w:val="0"/>
          <w:sz w:val="32"/>
          <w:szCs w:val="32"/>
          <w:lang w:val="en-US" w:eastAsia="zh-CN"/>
        </w:rPr>
        <w:t>2024</w:t>
      </w:r>
      <w:r>
        <w:rPr>
          <w:rFonts w:hint="eastAsia" w:ascii="仿宋_GB2312" w:hAnsi="仿宋_GB2312" w:eastAsia="仿宋_GB2312" w:cs="仿宋_GB2312"/>
          <w:color w:val="auto"/>
          <w:kern w:val="0"/>
          <w:sz w:val="32"/>
          <w:szCs w:val="32"/>
          <w:lang w:val="zh-CN" w:eastAsia="zh-CN"/>
        </w:rPr>
        <w:t>年</w:t>
      </w:r>
      <w:r>
        <w:rPr>
          <w:rFonts w:hint="eastAsia" w:ascii="仿宋_GB2312" w:hAnsi="仿宋_GB2312" w:eastAsia="仿宋_GB2312" w:cs="仿宋_GB2312"/>
          <w:color w:val="auto"/>
          <w:kern w:val="0"/>
          <w:sz w:val="32"/>
          <w:szCs w:val="32"/>
          <w:lang w:val="en-US" w:eastAsia="zh-CN"/>
        </w:rPr>
        <w:t>全年</w:t>
      </w:r>
      <w:r>
        <w:rPr>
          <w:rFonts w:hint="eastAsia" w:ascii="仿宋_GB2312" w:hAnsi="仿宋_GB2312" w:eastAsia="仿宋_GB2312" w:cs="仿宋_GB2312"/>
          <w:color w:val="auto"/>
          <w:kern w:val="0"/>
          <w:sz w:val="32"/>
          <w:szCs w:val="32"/>
          <w:lang w:val="zh-CN" w:eastAsia="zh-CN"/>
        </w:rPr>
        <w:t>工作经验基础上改进工作的方式方法，做好工作创新，保证我局</w:t>
      </w:r>
      <w:r>
        <w:rPr>
          <w:rFonts w:hint="eastAsia" w:ascii="仿宋_GB2312" w:hAnsi="仿宋_GB2312" w:eastAsia="仿宋_GB2312" w:cs="仿宋_GB2312"/>
          <w:color w:val="auto"/>
          <w:kern w:val="0"/>
          <w:sz w:val="32"/>
          <w:szCs w:val="32"/>
          <w:lang w:val="en-US" w:eastAsia="zh-CN"/>
        </w:rPr>
        <w:t>2025年</w:t>
      </w:r>
      <w:r>
        <w:rPr>
          <w:rFonts w:hint="eastAsia" w:ascii="仿宋_GB2312" w:hAnsi="仿宋_GB2312" w:eastAsia="仿宋_GB2312" w:cs="仿宋_GB2312"/>
          <w:color w:val="auto"/>
          <w:kern w:val="0"/>
          <w:sz w:val="32"/>
          <w:szCs w:val="32"/>
          <w:lang w:val="zh-CN" w:eastAsia="zh-CN"/>
        </w:rPr>
        <w:t>各项工作能够顺利开展。</w:t>
      </w:r>
    </w:p>
    <w:p w14:paraId="3C799857">
      <w:pPr>
        <w:keepNext w:val="0"/>
        <w:keepLines w:val="0"/>
        <w:pageBreakBefore w:val="0"/>
        <w:widowControl w:val="0"/>
        <w:numPr>
          <w:ilvl w:val="0"/>
          <w:numId w:val="6"/>
        </w:numPr>
        <w:pBdr>
          <w:bottom w:val="single" w:color="FFFFFF" w:sz="4" w:space="31"/>
        </w:pBdr>
        <w:tabs>
          <w:tab w:val="left" w:pos="1440"/>
        </w:tabs>
        <w:kinsoku/>
        <w:wordWrap/>
        <w:overflowPunct/>
        <w:topLinePunct w:val="0"/>
        <w:autoSpaceDE/>
        <w:autoSpaceDN/>
        <w:bidi w:val="0"/>
        <w:adjustRightInd w:val="0"/>
        <w:snapToGrid/>
        <w:spacing w:line="560" w:lineRule="exact"/>
        <w:ind w:left="0" w:leftChars="0"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存在问题</w:t>
      </w:r>
    </w:p>
    <w:p w14:paraId="1E107DE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2024年对于部门财政整体绩效评价工作，我局严格按照财政部门的要求开展相关工作。但还存在一定的问题</w:t>
      </w:r>
      <w:r>
        <w:rPr>
          <w:rFonts w:hint="eastAsia" w:ascii="仿宋_GB2312" w:hAnsi="仿宋_GB2312" w:eastAsia="仿宋_GB2312" w:cs="仿宋_GB2312"/>
          <w:b w:val="0"/>
          <w:bCs w:val="0"/>
          <w:color w:val="auto"/>
          <w:kern w:val="0"/>
          <w:sz w:val="32"/>
          <w:szCs w:val="32"/>
          <w:lang w:val="en-US" w:eastAsia="zh-CN"/>
        </w:rPr>
        <w:t>：</w:t>
      </w:r>
      <w:r>
        <w:rPr>
          <w:rFonts w:hint="eastAsia" w:ascii="仿宋_GB2312" w:hAnsi="仿宋_GB2312" w:eastAsia="仿宋_GB2312" w:cs="仿宋_GB2312"/>
          <w:b/>
          <w:bCs/>
          <w:color w:val="auto"/>
          <w:kern w:val="0"/>
          <w:sz w:val="32"/>
          <w:szCs w:val="32"/>
          <w:lang w:val="en-US" w:eastAsia="zh-CN"/>
        </w:rPr>
        <w:t>一是</w:t>
      </w:r>
      <w:r>
        <w:rPr>
          <w:rFonts w:hint="eastAsia" w:ascii="仿宋_GB2312" w:hAnsi="仿宋_GB2312" w:eastAsia="仿宋_GB2312" w:cs="仿宋_GB2312"/>
          <w:b w:val="0"/>
          <w:bCs w:val="0"/>
          <w:color w:val="auto"/>
          <w:kern w:val="0"/>
          <w:sz w:val="32"/>
          <w:szCs w:val="32"/>
          <w:lang w:val="en-US" w:eastAsia="zh-CN"/>
        </w:rPr>
        <w:t>从绩效评价看，部门支出预算和绩效评价工作还存在部分项目无法用量化指标来进行考评的问题；</w:t>
      </w:r>
      <w:r>
        <w:rPr>
          <w:rFonts w:hint="eastAsia" w:ascii="仿宋_GB2312" w:hAnsi="仿宋_GB2312" w:eastAsia="仿宋_GB2312" w:cs="仿宋_GB2312"/>
          <w:b/>
          <w:bCs/>
          <w:color w:val="auto"/>
          <w:kern w:val="0"/>
          <w:sz w:val="32"/>
          <w:szCs w:val="32"/>
          <w:lang w:val="en-US" w:eastAsia="zh-CN"/>
        </w:rPr>
        <w:t>二是</w:t>
      </w:r>
      <w:r>
        <w:rPr>
          <w:rFonts w:hint="eastAsia" w:ascii="仿宋_GB2312" w:hAnsi="仿宋_GB2312" w:eastAsia="仿宋_GB2312" w:cs="仿宋_GB2312"/>
          <w:b w:val="0"/>
          <w:bCs w:val="0"/>
          <w:color w:val="auto"/>
          <w:kern w:val="0"/>
          <w:sz w:val="32"/>
          <w:szCs w:val="32"/>
          <w:lang w:val="en-US" w:eastAsia="zh-CN"/>
        </w:rPr>
        <w:t>财务绩效评价认识不到位，抓不住关键的绩效评价点，难以发挥财务绩效评价的积极作用</w:t>
      </w:r>
      <w:r>
        <w:rPr>
          <w:rFonts w:hint="eastAsia" w:ascii="仿宋_GB2312" w:hAnsi="仿宋_GB2312" w:eastAsia="仿宋_GB2312" w:cs="仿宋_GB2312"/>
          <w:color w:val="auto"/>
          <w:kern w:val="0"/>
          <w:sz w:val="32"/>
          <w:szCs w:val="32"/>
          <w:lang w:val="en-US" w:eastAsia="zh-CN"/>
        </w:rPr>
        <w:t>。</w:t>
      </w:r>
    </w:p>
    <w:p w14:paraId="0510544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3"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改进建议</w:t>
      </w:r>
    </w:p>
    <w:p w14:paraId="4103486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spacing w:line="560" w:lineRule="exact"/>
        <w:ind w:firstLine="643" w:firstLineChars="200"/>
        <w:textAlignment w:val="auto"/>
        <w:outlineLvl w:val="9"/>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一是</w:t>
      </w:r>
      <w:r>
        <w:rPr>
          <w:rFonts w:hint="eastAsia" w:ascii="仿宋_GB2312" w:hAnsi="仿宋_GB2312" w:eastAsia="仿宋_GB2312" w:cs="仿宋_GB2312"/>
          <w:b w:val="0"/>
          <w:bCs w:val="0"/>
          <w:color w:val="auto"/>
          <w:kern w:val="0"/>
          <w:sz w:val="32"/>
          <w:szCs w:val="32"/>
          <w:lang w:val="en-US" w:eastAsia="zh-CN"/>
        </w:rPr>
        <w:t>加大财务绩效的理论培训，建议县委、县政府及财政部门负责组织全县单位负责人和财务人员的绩效培训，同时加强对各单位具体工作人员理论知识及实际操作流程的培训。</w:t>
      </w:r>
      <w:r>
        <w:rPr>
          <w:rFonts w:hint="eastAsia" w:ascii="仿宋_GB2312" w:hAnsi="仿宋_GB2312" w:eastAsia="仿宋_GB2312" w:cs="仿宋_GB2312"/>
          <w:b/>
          <w:bCs/>
          <w:color w:val="auto"/>
          <w:kern w:val="0"/>
          <w:sz w:val="32"/>
          <w:szCs w:val="32"/>
          <w:lang w:val="en-US" w:eastAsia="zh-CN"/>
        </w:rPr>
        <w:t>二是</w:t>
      </w:r>
      <w:r>
        <w:rPr>
          <w:rFonts w:hint="eastAsia" w:ascii="仿宋_GB2312" w:hAnsi="仿宋_GB2312" w:eastAsia="仿宋_GB2312" w:cs="仿宋_GB2312"/>
          <w:b w:val="0"/>
          <w:bCs w:val="0"/>
          <w:color w:val="auto"/>
          <w:kern w:val="0"/>
          <w:sz w:val="32"/>
          <w:szCs w:val="32"/>
          <w:lang w:val="en-US" w:eastAsia="zh-CN"/>
        </w:rPr>
        <w:t>建议加强对绩效评价工作的培训和指导，进一步优化项目绩效考核指标体系。</w:t>
      </w:r>
    </w:p>
    <w:p w14:paraId="7FA958C8">
      <w:pPr>
        <w:pStyle w:val="2"/>
        <w:numPr>
          <w:ilvl w:val="0"/>
          <w:numId w:val="0"/>
        </w:numPr>
        <w:rPr>
          <w:sz w:val="32"/>
          <w:szCs w:val="32"/>
        </w:rPr>
      </w:pPr>
    </w:p>
    <w:p w14:paraId="2587B879">
      <w:pPr>
        <w:pStyle w:val="2"/>
        <w:numPr>
          <w:ilvl w:val="0"/>
          <w:numId w:val="0"/>
        </w:numPr>
        <w:rPr>
          <w:sz w:val="32"/>
          <w:szCs w:val="32"/>
        </w:rPr>
      </w:pPr>
    </w:p>
    <w:p w14:paraId="353C313A">
      <w:pPr>
        <w:pStyle w:val="2"/>
        <w:numPr>
          <w:ilvl w:val="0"/>
          <w:numId w:val="0"/>
        </w:numPr>
      </w:pPr>
    </w:p>
    <w:p w14:paraId="66532D90">
      <w:pPr>
        <w:spacing w:line="580" w:lineRule="exact"/>
        <w:ind w:firstLine="640" w:firstLineChars="200"/>
        <w:rPr>
          <w:rFonts w:ascii="仿宋_GB2312" w:hAnsi="仿宋_GB2312" w:eastAsia="仿宋_GB2312" w:cs="仿宋_GB2312"/>
          <w:sz w:val="32"/>
          <w:szCs w:val="32"/>
        </w:rPr>
      </w:pPr>
    </w:p>
    <w:p w14:paraId="6E80D515">
      <w:pPr>
        <w:widowControl/>
        <w:jc w:val="left"/>
        <w:rPr>
          <w:rFonts w:ascii="仿宋_GB2312" w:hAnsi="仿宋_GB2312" w:eastAsia="仿宋_GB2312" w:cs="仿宋_GB2312"/>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89035F"/>
    <w:multiLevelType w:val="singleLevel"/>
    <w:tmpl w:val="B489035F"/>
    <w:lvl w:ilvl="0" w:tentative="0">
      <w:start w:val="1"/>
      <w:numFmt w:val="decimal"/>
      <w:suff w:val="nothing"/>
      <w:lvlText w:val="%1、"/>
      <w:lvlJc w:val="left"/>
    </w:lvl>
  </w:abstractNum>
  <w:abstractNum w:abstractNumId="1">
    <w:nsid w:val="DDE2CD46"/>
    <w:multiLevelType w:val="singleLevel"/>
    <w:tmpl w:val="DDE2CD46"/>
    <w:lvl w:ilvl="0" w:tentative="0">
      <w:start w:val="1"/>
      <w:numFmt w:val="chineseCounting"/>
      <w:suff w:val="nothing"/>
      <w:lvlText w:val="（%1）"/>
      <w:lvlJc w:val="left"/>
      <w:rPr>
        <w:rFonts w:hint="eastAsia"/>
      </w:rPr>
    </w:lvl>
  </w:abstractNum>
  <w:abstractNum w:abstractNumId="2">
    <w:nsid w:val="1BC6A49A"/>
    <w:multiLevelType w:val="singleLevel"/>
    <w:tmpl w:val="1BC6A49A"/>
    <w:lvl w:ilvl="0" w:tentative="0">
      <w:start w:val="1"/>
      <w:numFmt w:val="chineseCounting"/>
      <w:suff w:val="nothing"/>
      <w:lvlText w:val="（%1）"/>
      <w:lvlJc w:val="left"/>
      <w:rPr>
        <w:rFonts w:hint="eastAsia"/>
      </w:rPr>
    </w:lvl>
  </w:abstractNum>
  <w:abstractNum w:abstractNumId="3">
    <w:nsid w:val="27F49066"/>
    <w:multiLevelType w:val="singleLevel"/>
    <w:tmpl w:val="27F49066"/>
    <w:lvl w:ilvl="0" w:tentative="0">
      <w:start w:val="2"/>
      <w:numFmt w:val="chineseCounting"/>
      <w:suff w:val="nothing"/>
      <w:lvlText w:val="（%1）"/>
      <w:lvlJc w:val="left"/>
      <w:rPr>
        <w:rFonts w:hint="eastAsia"/>
      </w:rPr>
    </w:lvl>
  </w:abstractNum>
  <w:abstractNum w:abstractNumId="4">
    <w:nsid w:val="2C06C6B2"/>
    <w:multiLevelType w:val="singleLevel"/>
    <w:tmpl w:val="2C06C6B2"/>
    <w:lvl w:ilvl="0" w:tentative="0">
      <w:start w:val="1"/>
      <w:numFmt w:val="chineseCounting"/>
      <w:suff w:val="nothing"/>
      <w:lvlText w:val="（%1）"/>
      <w:lvlJc w:val="left"/>
      <w:rPr>
        <w:rFonts w:hint="eastAsia"/>
      </w:rPr>
    </w:lvl>
  </w:abstractNum>
  <w:abstractNum w:abstractNumId="5">
    <w:nsid w:val="64119771"/>
    <w:multiLevelType w:val="singleLevel"/>
    <w:tmpl w:val="64119771"/>
    <w:lvl w:ilvl="0" w:tentative="0">
      <w:start w:val="2"/>
      <w:numFmt w:val="chineseCounting"/>
      <w:suff w:val="nothing"/>
      <w:lvlText w:val="%1、"/>
      <w:lvlJc w:val="left"/>
      <w:rPr>
        <w:rFonts w:hint="eastAsia"/>
      </w:rPr>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kMzZiZGY1ODE0NzdlNTM0Zjk1Zjg2MjMyN2Y0YTgifQ=="/>
  </w:docVars>
  <w:rsids>
    <w:rsidRoot w:val="00491B22"/>
    <w:rsid w:val="00291808"/>
    <w:rsid w:val="00491B22"/>
    <w:rsid w:val="0052390C"/>
    <w:rsid w:val="07601551"/>
    <w:rsid w:val="0D9A0475"/>
    <w:rsid w:val="0DFD6B99"/>
    <w:rsid w:val="132504A6"/>
    <w:rsid w:val="134F34F8"/>
    <w:rsid w:val="1FB67C12"/>
    <w:rsid w:val="227C4126"/>
    <w:rsid w:val="258C0CC3"/>
    <w:rsid w:val="26B1325B"/>
    <w:rsid w:val="274C7086"/>
    <w:rsid w:val="27DD734A"/>
    <w:rsid w:val="2A6C316C"/>
    <w:rsid w:val="34EB1F43"/>
    <w:rsid w:val="357C3332"/>
    <w:rsid w:val="3582057E"/>
    <w:rsid w:val="36435EC2"/>
    <w:rsid w:val="3ACD011D"/>
    <w:rsid w:val="3D495254"/>
    <w:rsid w:val="473D1EA4"/>
    <w:rsid w:val="478D443D"/>
    <w:rsid w:val="47A60AF0"/>
    <w:rsid w:val="4DD97D2F"/>
    <w:rsid w:val="4E4048F5"/>
    <w:rsid w:val="4F0861B0"/>
    <w:rsid w:val="4FD125D5"/>
    <w:rsid w:val="5095315B"/>
    <w:rsid w:val="53D5629D"/>
    <w:rsid w:val="556676A7"/>
    <w:rsid w:val="5CA34579"/>
    <w:rsid w:val="60D032A5"/>
    <w:rsid w:val="63B223E1"/>
    <w:rsid w:val="65C344E2"/>
    <w:rsid w:val="69EE78FD"/>
    <w:rsid w:val="6D8A10DF"/>
    <w:rsid w:val="705C3F85"/>
    <w:rsid w:val="73A741F5"/>
    <w:rsid w:val="7DFC280D"/>
    <w:rsid w:val="7F864B0E"/>
    <w:rsid w:val="7FEC306C"/>
    <w:rsid w:val="EB5EF9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99"/>
    <w:pPr>
      <w:spacing w:after="120"/>
      <w:ind w:left="420" w:leftChars="200"/>
    </w:pPr>
  </w:style>
  <w:style w:type="paragraph" w:styleId="4">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able of figures"/>
    <w:basedOn w:val="1"/>
    <w:next w:val="1"/>
    <w:qFormat/>
    <w:uiPriority w:val="0"/>
    <w:pPr>
      <w:ind w:leftChars="200" w:hanging="200" w:hangingChars="200"/>
    </w:pPr>
  </w:style>
  <w:style w:type="paragraph" w:styleId="7">
    <w:name w:val="Title"/>
    <w:basedOn w:val="1"/>
    <w:next w:val="1"/>
    <w:qFormat/>
    <w:uiPriority w:val="0"/>
    <w:pPr>
      <w:widowControl/>
      <w:adjustRightInd w:val="0"/>
      <w:snapToGrid w:val="0"/>
      <w:spacing w:before="240" w:after="60"/>
      <w:jc w:val="center"/>
      <w:outlineLvl w:val="0"/>
    </w:pPr>
    <w:rPr>
      <w:rFonts w:ascii="Cambria" w:hAnsi="Cambria"/>
      <w:b/>
      <w:bCs/>
      <w:kern w:val="0"/>
      <w:sz w:val="32"/>
      <w:szCs w:val="32"/>
    </w:rPr>
  </w:style>
  <w:style w:type="character" w:styleId="10">
    <w:name w:val="Strong"/>
    <w:basedOn w:val="9"/>
    <w:qFormat/>
    <w:uiPriority w:val="99"/>
    <w:rPr>
      <w:b/>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7</Pages>
  <Words>3162</Words>
  <Characters>3274</Characters>
  <Lines>2</Lines>
  <Paragraphs>1</Paragraphs>
  <TotalTime>18</TotalTime>
  <ScaleCrop>false</ScaleCrop>
  <LinksUpToDate>false</LinksUpToDate>
  <CharactersWithSpaces>3308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whisper</cp:lastModifiedBy>
  <dcterms:modified xsi:type="dcterms:W3CDTF">2025-08-20T09:52:49Z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A04734005C0F0C0633F5F3664240B31D_43</vt:lpwstr>
  </property>
  <property fmtid="{D5CDD505-2E9C-101B-9397-08002B2CF9AE}" pid="4" name="KSOTemplateDocerSaveRecord">
    <vt:lpwstr>eyJoZGlkIjoiOGYyZmRkNDQyMzk1NzFlYzU3N2JlZjc4Y2MxNGFjYjgiLCJ1c2VySWQiOiIxMTQ4OTA4OTA2In0=</vt:lpwstr>
  </property>
</Properties>
</file>