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lang w:val="en-US" w:eastAsia="zh-CN"/>
        </w:rPr>
        <w:t>黑水县维古中心卫生院</w:t>
      </w: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22</w:t>
      </w:r>
      <w:r>
        <w:rPr>
          <w:rFonts w:hint="eastAsia" w:ascii="仿宋_GB2312" w:hAnsi="黑体" w:eastAsia="仿宋_GB2312" w:cs="方正小标宋简体"/>
          <w:b/>
          <w:sz w:val="32"/>
          <w:szCs w:val="32"/>
        </w:rPr>
        <w:t>年部门</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整体支出绩效评价报告</w:t>
      </w:r>
      <w:bookmarkEnd w:id="0"/>
    </w:p>
    <w:p>
      <w:pPr>
        <w:spacing w:line="580" w:lineRule="exact"/>
        <w:ind w:firstLine="643" w:firstLineChars="200"/>
        <w:rPr>
          <w:rFonts w:ascii="仿宋_GB2312" w:hAnsi="黑体" w:eastAsia="仿宋_GB2312" w:cs="黑体"/>
          <w:b/>
          <w:sz w:val="32"/>
          <w:szCs w:val="32"/>
        </w:rPr>
      </w:pPr>
    </w:p>
    <w:p>
      <w:pPr>
        <w:spacing w:line="580" w:lineRule="exact"/>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numPr>
          <w:ilvl w:val="0"/>
          <w:numId w:val="0"/>
        </w:numPr>
        <w:spacing w:line="580" w:lineRule="exact"/>
        <w:ind w:firstLine="640" w:firstLineChars="200"/>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我单位是卫生健康局下属二级预算单位，在编人数54人，为事业编制。</w:t>
      </w:r>
    </w:p>
    <w:p>
      <w:pPr>
        <w:numPr>
          <w:ilvl w:val="0"/>
          <w:numId w:val="0"/>
        </w:numPr>
        <w:spacing w:line="580" w:lineRule="exact"/>
        <w:rPr>
          <w:rFonts w:hint="eastAsia" w:ascii="仿宋_GB2312" w:hAnsi="仿宋"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（一）</w:t>
      </w:r>
      <w:r>
        <w:rPr>
          <w:rFonts w:hint="eastAsia" w:ascii="仿宋_GB2312" w:hAnsi="仿宋" w:eastAsia="仿宋_GB2312" w:cs="仿宋_GB2312"/>
          <w:sz w:val="32"/>
          <w:szCs w:val="32"/>
        </w:rPr>
        <w:t>机构职能。</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1.宣传贯彻党和政府的各项医疗卫生方针政策，协助政府实施农村医改工作。</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2.提供基本医疗服务，开展农村常见病、多发病以及诊断明确的慢性非传染性疾病的诊疗护理。</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3.贯彻落实国家基本药物制度，实行网上统一采购、统一配送的基本药物采购方式，实施基本药物零差价销售。</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4.协助开展突发公共卫生事件应急调查和处置工作，承担区域内公共卫生相关信息的采集和报告。</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5.对区域内村卫生室实行统一化管理，并指导卫生室和乡村医生的日常业务工作。</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6.提供公共卫生服务职能。主要是提供基本公共卫生服务，包括建立居民健康档案、健康教育、预防接种、传染病防治、高血压糖尿病等慢性病管理、重性精神病管理、儿童健康管理、孕产妇保健、老年人健康管理、卫生监管与监督、家庭签约服务等。</w:t>
      </w:r>
    </w:p>
    <w:p>
      <w:pPr>
        <w:widowControl/>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人员概述</w:t>
      </w:r>
    </w:p>
    <w:p>
      <w:pPr>
        <w:numPr>
          <w:ilvl w:val="0"/>
          <w:numId w:val="0"/>
        </w:numPr>
        <w:spacing w:line="58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cs="宋体"/>
          <w:b w:val="0"/>
          <w:bCs w:val="0"/>
          <w:color w:val="auto"/>
          <w:sz w:val="28"/>
          <w:szCs w:val="28"/>
          <w:lang w:val="en-US" w:eastAsia="zh-CN"/>
        </w:rPr>
        <w:t>我单位</w:t>
      </w:r>
      <w:r>
        <w:rPr>
          <w:rFonts w:hint="eastAsia" w:ascii="仿宋_GB2312" w:hAnsi="仿宋_GB2312" w:eastAsia="仿宋_GB2312" w:cs="仿宋_GB2312"/>
          <w:kern w:val="0"/>
          <w:sz w:val="32"/>
          <w:szCs w:val="32"/>
          <w:shd w:val="clear" w:color="auto" w:fill="FFFFFF"/>
          <w:lang w:val="en-US" w:eastAsia="zh-CN" w:bidi="ar"/>
        </w:rPr>
        <w:t>在编人数54人，为事业编制。</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二、部门财政资金收支情况 </w:t>
      </w:r>
    </w:p>
    <w:p>
      <w:pPr>
        <w:keepNext w:val="0"/>
        <w:keepLines w:val="0"/>
        <w:widowControl/>
        <w:suppressLineNumbers w:val="0"/>
        <w:jc w:val="left"/>
      </w:pPr>
      <w:r>
        <w:rPr>
          <w:rFonts w:hint="eastAsia" w:ascii="楷体_GB2312" w:hAnsi="宋体" w:eastAsia="楷体_GB2312" w:cs="楷体_GB2312"/>
          <w:color w:val="000000"/>
          <w:kern w:val="0"/>
          <w:sz w:val="31"/>
          <w:szCs w:val="31"/>
          <w:lang w:val="en-US" w:eastAsia="zh-CN" w:bidi="ar"/>
        </w:rPr>
        <w:t xml:space="preserve">(一)部门财政资金收入情况 </w:t>
      </w:r>
    </w:p>
    <w:p>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2022年本年收入合计972.06万元，其中：一般公共预算财政拨款收入972.06万元，占100.00%；政府性基金预算财政拨款收入0.00万元，占0.00%；国有资本经营预算财政拨款收入0.00万元，占0.00%；上级补助收入0.00万元，占0.00%；事业收入0.00万元，占0.00%%；经营收入0.00万元，占0.00%%；附属单位上缴收入0.00万元，占0.00%；其他收入0.00万元，占0.00%。</w:t>
      </w:r>
    </w:p>
    <w:p>
      <w:pPr>
        <w:pStyle w:val="2"/>
        <w:ind w:left="0" w:leftChars="0" w:firstLine="560"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2022年一般公共预算财政拨款支出972.06万元，主要用于以下方面:一般公共服务（类）支出0.00万元，占0.00%；教育支出（类）0.00万元，占0.00%；科学技术（类）支出0.00万元，占0.00%；文化旅游体育与传媒（类）支出0.00万元，占0.00%；社会保障和就业（类）支出85.64万元，占8.81%；卫生健康支出810.53万元，占83.38%；住房保障支出75.90万元，占7.81%；</w:t>
      </w:r>
    </w:p>
    <w:p>
      <w:pPr>
        <w:pStyle w:val="2"/>
        <w:ind w:left="0" w:leftChars="0" w:firstLine="0" w:firstLineChars="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三、部门财政支出管理情况</w:t>
      </w:r>
    </w:p>
    <w:p>
      <w:pPr>
        <w:pStyle w:val="2"/>
        <w:ind w:left="0" w:leftChars="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（一）预算编制情况</w:t>
      </w:r>
    </w:p>
    <w:p>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w:t>
      </w:r>
    </w:p>
    <w:p>
      <w:pPr>
        <w:pStyle w:val="6"/>
        <w:shd w:val="clear" w:color="auto" w:fill="FFFFFF"/>
        <w:spacing w:before="0" w:beforeAutospacing="0" w:after="0" w:afterAutospacing="0" w:line="360" w:lineRule="auto"/>
        <w:rPr>
          <w:rFonts w:hint="eastAsia" w:ascii="仿宋" w:hAnsi="仿宋" w:eastAsia="仿宋"/>
          <w:color w:val="000000"/>
          <w:sz w:val="32"/>
          <w:szCs w:val="32"/>
        </w:rPr>
      </w:pPr>
      <w:r>
        <w:rPr>
          <w:rFonts w:hint="eastAsia" w:ascii="仿宋" w:hAnsi="仿宋" w:eastAsia="仿宋"/>
          <w:color w:val="000000"/>
          <w:sz w:val="32"/>
          <w:szCs w:val="32"/>
        </w:rPr>
        <w:t>（二）执行管理情况</w:t>
      </w:r>
    </w:p>
    <w:p>
      <w:pPr>
        <w:pStyle w:val="2"/>
        <w:rPr>
          <w:rFonts w:hint="eastAsia" w:ascii="仿宋" w:hAnsi="仿宋" w:eastAsia="仿宋"/>
          <w:color w:val="000000"/>
          <w:sz w:val="32"/>
          <w:szCs w:val="32"/>
        </w:rPr>
      </w:pPr>
      <w:r>
        <w:rPr>
          <w:rFonts w:hint="eastAsia" w:ascii="仿宋" w:hAnsi="仿宋" w:eastAsia="仿宋"/>
          <w:color w:val="000000"/>
          <w:sz w:val="32"/>
          <w:szCs w:val="32"/>
        </w:rPr>
        <w:t>严格执行“厉行节约、反对浪费”的规定，严格控制“三公”经费支出，加强公务用车管理，努力降低燃修费用，“三公”经费较上年有所下降。</w:t>
      </w:r>
    </w:p>
    <w:p>
      <w:pPr>
        <w:pStyle w:val="6"/>
        <w:shd w:val="clear" w:color="auto" w:fill="FFFFFF"/>
        <w:spacing w:before="0" w:beforeAutospacing="0" w:after="0" w:afterAutospacing="0" w:line="360" w:lineRule="auto"/>
        <w:rPr>
          <w:rFonts w:hint="eastAsia" w:ascii="仿宋" w:hAnsi="仿宋" w:eastAsia="仿宋"/>
          <w:color w:val="000000"/>
          <w:sz w:val="32"/>
          <w:szCs w:val="32"/>
        </w:rPr>
      </w:pPr>
      <w:r>
        <w:rPr>
          <w:rFonts w:hint="eastAsia" w:ascii="仿宋" w:hAnsi="仿宋" w:eastAsia="仿宋"/>
          <w:color w:val="000000"/>
          <w:sz w:val="32"/>
          <w:szCs w:val="32"/>
        </w:rPr>
        <w:t>（三）综合管理情况 </w:t>
      </w:r>
    </w:p>
    <w:p>
      <w:pPr>
        <w:snapToGrid w:val="0"/>
        <w:spacing w:line="360" w:lineRule="auto"/>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运行经费管理，对于资产管理做到正确核算，加强固定资产购置、使用及保管。账务及各类报表公开、准确如实反映，做到信息及时公开等。各项规章制度健全，制度执行严格合规。会计核算符合相关财务管理规定。资金管理方面，各项资金均实行专款专用，严格依法依规执行资金支付依据和开支标准,严格执行政府采购制度。</w:t>
      </w:r>
    </w:p>
    <w:p>
      <w:pPr>
        <w:snapToGrid w:val="0"/>
        <w:spacing w:line="360" w:lineRule="auto"/>
        <w:ind w:firstLine="560" w:firstLineChars="200"/>
        <w:jc w:val="left"/>
        <w:rPr>
          <w:rFonts w:hint="eastAsia" w:ascii="仿宋" w:hAnsi="仿宋" w:eastAsia="仿宋"/>
          <w:color w:val="000000"/>
          <w:sz w:val="32"/>
          <w:szCs w:val="32"/>
        </w:rPr>
      </w:pPr>
      <w:r>
        <w:rPr>
          <w:rFonts w:hint="eastAsia" w:ascii="宋体" w:hAnsi="宋体" w:eastAsia="宋体" w:cs="宋体"/>
          <w:color w:val="000000"/>
          <w:sz w:val="28"/>
          <w:szCs w:val="28"/>
        </w:rPr>
        <w:t>我单位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r>
        <w:rPr>
          <w:rFonts w:hint="eastAsia" w:eastAsia="仿宋"/>
          <w:color w:val="000000"/>
          <w:sz w:val="32"/>
          <w:szCs w:val="32"/>
        </w:rPr>
        <w:t> </w:t>
      </w:r>
    </w:p>
    <w:p>
      <w:pPr>
        <w:pStyle w:val="6"/>
        <w:shd w:val="clear" w:color="auto" w:fill="FFFFFF"/>
        <w:spacing w:before="0" w:beforeAutospacing="0" w:after="0" w:afterAutospacing="0" w:line="360" w:lineRule="auto"/>
        <w:rPr>
          <w:rFonts w:hint="eastAsia" w:ascii="仿宋" w:hAnsi="仿宋" w:eastAsia="仿宋"/>
          <w:b/>
          <w:color w:val="333333"/>
          <w:sz w:val="32"/>
          <w:szCs w:val="32"/>
        </w:rPr>
      </w:pPr>
      <w:r>
        <w:rPr>
          <w:rFonts w:hint="eastAsia" w:ascii="仿宋" w:hAnsi="仿宋" w:eastAsia="仿宋"/>
          <w:color w:val="333333"/>
          <w:sz w:val="32"/>
          <w:szCs w:val="32"/>
        </w:rPr>
        <w:t>　</w:t>
      </w:r>
      <w:r>
        <w:rPr>
          <w:rFonts w:hint="eastAsia" w:ascii="仿宋" w:hAnsi="仿宋" w:eastAsia="仿宋"/>
          <w:b/>
          <w:color w:val="333333"/>
          <w:sz w:val="32"/>
          <w:szCs w:val="32"/>
        </w:rPr>
        <w:t>　四、评价结论及建议</w:t>
      </w:r>
      <w:r>
        <w:rPr>
          <w:rFonts w:hint="eastAsia" w:eastAsia="仿宋"/>
          <w:b/>
          <w:color w:val="333333"/>
          <w:sz w:val="32"/>
          <w:szCs w:val="32"/>
        </w:rPr>
        <w:t> </w:t>
      </w:r>
    </w:p>
    <w:p>
      <w:pPr>
        <w:spacing w:line="360" w:lineRule="auto"/>
        <w:ind w:firstLine="645"/>
        <w:jc w:val="left"/>
        <w:rPr>
          <w:rFonts w:hint="eastAsia" w:ascii="宋体" w:hAnsi="宋体" w:eastAsia="宋体" w:cs="宋体"/>
          <w:color w:val="000000"/>
          <w:sz w:val="28"/>
          <w:szCs w:val="28"/>
        </w:rPr>
      </w:pPr>
      <w:r>
        <w:rPr>
          <w:rFonts w:hint="eastAsia" w:ascii="宋体" w:hAnsi="宋体" w:eastAsia="宋体" w:cs="宋体"/>
          <w:color w:val="000000"/>
          <w:sz w:val="28"/>
          <w:szCs w:val="28"/>
        </w:rPr>
        <w:t>（一）评价结论</w:t>
      </w:r>
    </w:p>
    <w:p>
      <w:pPr>
        <w:spacing w:line="360" w:lineRule="auto"/>
        <w:ind w:firstLine="645"/>
        <w:jc w:val="left"/>
        <w:rPr>
          <w:rFonts w:hint="eastAsia" w:ascii="宋体" w:hAnsi="宋体" w:eastAsia="宋体" w:cs="宋体"/>
          <w:color w:val="000000"/>
          <w:sz w:val="28"/>
          <w:szCs w:val="28"/>
        </w:rPr>
      </w:pPr>
      <w:r>
        <w:rPr>
          <w:rFonts w:hint="eastAsia" w:ascii="宋体" w:hAnsi="宋体" w:eastAsia="宋体" w:cs="宋体"/>
          <w:color w:val="000000"/>
          <w:sz w:val="28"/>
          <w:szCs w:val="28"/>
        </w:rPr>
        <w:t>按照国家政策法规规定，结合本部门的实际情况，建立健全了财务管理制度和约束机制，依法、有效地使用财政资金，提高财政资金使用效率，合理分配人、财、物，完成了部门职能目标，实现了较高的工作效率和支出绩效。 </w:t>
      </w:r>
    </w:p>
    <w:p>
      <w:pPr>
        <w:pStyle w:val="6"/>
        <w:shd w:val="clear" w:color="auto" w:fill="FFFFFF"/>
        <w:spacing w:before="0" w:beforeAutospacing="0" w:after="0" w:afterAutospacing="0"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　　（</w:t>
      </w:r>
      <w:r>
        <w:rPr>
          <w:rFonts w:hint="eastAsia" w:ascii="宋体" w:hAnsi="宋体" w:eastAsia="宋体" w:cs="宋体"/>
          <w:color w:val="000000"/>
          <w:sz w:val="28"/>
          <w:szCs w:val="28"/>
          <w:lang w:val="en-US" w:eastAsia="zh-CN"/>
        </w:rPr>
        <w:t>二</w:t>
      </w:r>
      <w:r>
        <w:rPr>
          <w:rFonts w:hint="eastAsia" w:ascii="宋体" w:hAnsi="宋体" w:eastAsia="宋体" w:cs="宋体"/>
          <w:color w:val="000000"/>
          <w:sz w:val="28"/>
          <w:szCs w:val="28"/>
        </w:rPr>
        <w:t>）改进建议 </w:t>
      </w:r>
    </w:p>
    <w:p>
      <w:pPr>
        <w:pStyle w:val="6"/>
        <w:shd w:val="clear" w:color="auto" w:fill="FFFFFF"/>
        <w:spacing w:before="0" w:beforeAutospacing="0" w:after="0" w:afterAutospacing="0" w:line="360" w:lineRule="auto"/>
        <w:rPr>
          <w:rFonts w:hint="eastAsia" w:ascii="仿宋" w:hAnsi="仿宋" w:eastAsia="仿宋"/>
          <w:color w:val="000000"/>
          <w:sz w:val="32"/>
          <w:szCs w:val="32"/>
        </w:rPr>
      </w:pPr>
      <w:r>
        <w:rPr>
          <w:rFonts w:hint="eastAsia" w:ascii="仿宋" w:hAnsi="仿宋" w:eastAsia="仿宋"/>
          <w:color w:val="000000"/>
          <w:sz w:val="32"/>
          <w:szCs w:val="32"/>
        </w:rPr>
        <w:t>　　我们将进一步重视预算的编制工作，提高预算编制的精确度，提高财政资金使用效率，尽量减少预算执行调整、结转和结余注销的情形。</w:t>
      </w:r>
      <w:r>
        <w:rPr>
          <w:rFonts w:hint="eastAsia" w:eastAsia="仿宋"/>
          <w:color w:val="000000"/>
          <w:sz w:val="32"/>
          <w:szCs w:val="32"/>
        </w:rPr>
        <w:t> </w:t>
      </w:r>
    </w:p>
    <w:p>
      <w:pPr>
        <w:pStyle w:val="6"/>
        <w:shd w:val="clear" w:color="auto" w:fill="FFFFFF"/>
        <w:spacing w:before="0" w:beforeAutospacing="0" w:after="0" w:afterAutospacing="0" w:line="360" w:lineRule="auto"/>
        <w:rPr>
          <w:rFonts w:hint="eastAsia" w:ascii="仿宋" w:hAnsi="仿宋" w:eastAsia="仿宋"/>
          <w:sz w:val="32"/>
          <w:szCs w:val="32"/>
        </w:rPr>
      </w:pPr>
      <w:r>
        <w:rPr>
          <w:rFonts w:hint="eastAsia" w:ascii="仿宋" w:hAnsi="仿宋" w:eastAsia="仿宋"/>
          <w:sz w:val="32"/>
          <w:szCs w:val="32"/>
        </w:rPr>
        <w:t>　　</w:t>
      </w:r>
      <w:r>
        <w:rPr>
          <w:rFonts w:hint="eastAsia" w:eastAsia="仿宋"/>
          <w:sz w:val="32"/>
          <w:szCs w:val="32"/>
        </w:rPr>
        <w:t>  </w:t>
      </w:r>
    </w:p>
    <w:p>
      <w:pPr>
        <w:pStyle w:val="6"/>
        <w:shd w:val="clear" w:color="auto" w:fill="FFFFFF"/>
        <w:spacing w:before="0" w:beforeAutospacing="0" w:after="0" w:afterAutospacing="0" w:line="360" w:lineRule="auto"/>
        <w:rPr>
          <w:rFonts w:hint="eastAsia" w:ascii="仿宋" w:hAnsi="仿宋" w:eastAsia="仿宋"/>
          <w:sz w:val="32"/>
          <w:szCs w:val="32"/>
        </w:rPr>
      </w:pPr>
    </w:p>
    <w:p>
      <w:pPr>
        <w:pStyle w:val="6"/>
        <w:shd w:val="clear" w:color="auto" w:fill="FFFFFF"/>
        <w:spacing w:before="0" w:beforeAutospacing="0" w:after="0" w:afterAutospacing="0" w:line="360" w:lineRule="auto"/>
        <w:ind w:left="6240" w:hanging="6240" w:hangingChars="1950"/>
        <w:rPr>
          <w:rFonts w:hint="eastAsia" w:ascii="仿宋" w:hAnsi="仿宋" w:eastAsia="仿宋"/>
          <w:sz w:val="32"/>
          <w:szCs w:val="32"/>
          <w:lang w:val="en-US" w:eastAsia="zh-CN"/>
        </w:rPr>
      </w:pPr>
      <w:r>
        <w:rPr>
          <w:rFonts w:hint="eastAsia" w:ascii="仿宋" w:hAnsi="仿宋" w:eastAsia="仿宋"/>
          <w:sz w:val="32"/>
          <w:szCs w:val="32"/>
        </w:rPr>
        <w:t xml:space="preserve">                       黑水县</w:t>
      </w:r>
      <w:r>
        <w:rPr>
          <w:rFonts w:hint="eastAsia" w:ascii="仿宋" w:hAnsi="仿宋" w:eastAsia="仿宋"/>
          <w:sz w:val="32"/>
          <w:szCs w:val="32"/>
          <w:lang w:val="en-US" w:eastAsia="zh-CN"/>
        </w:rPr>
        <w:t>维古</w:t>
      </w:r>
      <w:bookmarkStart w:id="1" w:name="_GoBack"/>
      <w:bookmarkEnd w:id="1"/>
      <w:r>
        <w:rPr>
          <w:rFonts w:hint="eastAsia" w:ascii="仿宋" w:hAnsi="仿宋" w:eastAsia="仿宋"/>
          <w:sz w:val="32"/>
          <w:szCs w:val="32"/>
          <w:lang w:val="en-US" w:eastAsia="zh-CN"/>
        </w:rPr>
        <w:t>中心卫生院</w:t>
      </w:r>
    </w:p>
    <w:p>
      <w:pPr>
        <w:pStyle w:val="6"/>
        <w:shd w:val="clear" w:color="auto" w:fill="FFFFFF"/>
        <w:spacing w:before="0" w:beforeAutospacing="0" w:after="0" w:afterAutospacing="0" w:line="360" w:lineRule="auto"/>
        <w:ind w:firstLine="4480" w:firstLineChars="1400"/>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23</w:t>
      </w:r>
      <w:r>
        <w:rPr>
          <w:rFonts w:hint="eastAsia" w:ascii="仿宋" w:hAnsi="仿宋" w:eastAsia="仿宋"/>
          <w:sz w:val="32"/>
          <w:szCs w:val="32"/>
        </w:rPr>
        <w:t>年</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23</w:t>
      </w:r>
      <w:r>
        <w:rPr>
          <w:rFonts w:hint="eastAsia" w:ascii="仿宋" w:hAnsi="仿宋" w:eastAsia="仿宋"/>
          <w:sz w:val="32"/>
          <w:szCs w:val="32"/>
        </w:rPr>
        <w:t>日</w:t>
      </w:r>
    </w:p>
    <w:p>
      <w:pPr>
        <w:pStyle w:val="2"/>
        <w:rPr>
          <w:rFonts w:hint="eastAsia" w:ascii="仿宋" w:hAnsi="仿宋" w:eastAsia="仿宋"/>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ZWExMDIwMTAyNTlkY2I3MDQ0MGE2NzkwYzQ5NGQifQ=="/>
  </w:docVars>
  <w:rsids>
    <w:rsidRoot w:val="00491B22"/>
    <w:rsid w:val="00291808"/>
    <w:rsid w:val="00491B22"/>
    <w:rsid w:val="0052390C"/>
    <w:rsid w:val="08AD0CC8"/>
    <w:rsid w:val="1BD44FBF"/>
    <w:rsid w:val="1F457E33"/>
    <w:rsid w:val="25ED4C95"/>
    <w:rsid w:val="26660E24"/>
    <w:rsid w:val="28293CA6"/>
    <w:rsid w:val="32840F22"/>
    <w:rsid w:val="34EB1F43"/>
    <w:rsid w:val="36435EC2"/>
    <w:rsid w:val="4915480B"/>
    <w:rsid w:val="4EBB0CBB"/>
    <w:rsid w:val="56FF3A83"/>
    <w:rsid w:val="581D30C0"/>
    <w:rsid w:val="60D032A5"/>
    <w:rsid w:val="687C04FF"/>
    <w:rsid w:val="696B32FB"/>
    <w:rsid w:val="6BC92A1E"/>
    <w:rsid w:val="6E5D529D"/>
    <w:rsid w:val="70FD11B8"/>
    <w:rsid w:val="7BD92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680"/>
    </w:pPr>
  </w:style>
  <w:style w:type="paragraph" w:styleId="4">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spacing w:before="100" w:beforeAutospacing="1" w:after="100" w:afterAutospacing="1"/>
      <w:ind w:left="0" w:right="0"/>
      <w:jc w:val="left"/>
    </w:pPr>
    <w:rPr>
      <w:rFonts w:hint="default" w:ascii="宋体" w:hAnsi="宋体" w:eastAsia="宋体" w:cs="宋体"/>
      <w:kern w:val="0"/>
      <w:sz w:val="24"/>
      <w:lang w:val="en-US" w:eastAsia="zh-CN" w:bidi="ar"/>
    </w:rPr>
  </w:style>
  <w:style w:type="character" w:styleId="9">
    <w:name w:val="Strong"/>
    <w:basedOn w:val="8"/>
    <w:qFormat/>
    <w:uiPriority w:val="0"/>
    <w:rPr>
      <w:b/>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4672</Words>
  <Characters>4941</Characters>
  <Lines>2</Lines>
  <Paragraphs>1</Paragraphs>
  <TotalTime>1</TotalTime>
  <ScaleCrop>false</ScaleCrop>
  <LinksUpToDate>false</LinksUpToDate>
  <CharactersWithSpaces>4948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保英姐</cp:lastModifiedBy>
  <dcterms:modified xsi:type="dcterms:W3CDTF">2023-09-23T18:11:18Z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49598792D46044CF93930DACBEAA8875_13</vt:lpwstr>
  </property>
</Properties>
</file>