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黑水县知木林中心卫生院</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numPr>
          <w:ilvl w:val="0"/>
          <w:numId w:val="0"/>
        </w:numPr>
        <w:spacing w:line="580" w:lineRule="exact"/>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我单位是卫生健康局下属二级预算单位，在编人数41人，为事业编制。</w:t>
      </w:r>
    </w:p>
    <w:p>
      <w:pPr>
        <w:numPr>
          <w:ilvl w:val="0"/>
          <w:numId w:val="0"/>
        </w:numPr>
        <w:spacing w:line="580" w:lineRule="exact"/>
        <w:rPr>
          <w:rFonts w:hint="eastAsia" w:ascii="仿宋_GB2312" w:hAnsi="仿宋"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w:t>
      </w:r>
      <w:r>
        <w:rPr>
          <w:rFonts w:hint="eastAsia" w:ascii="仿宋_GB2312" w:hAnsi="仿宋" w:eastAsia="仿宋_GB2312" w:cs="仿宋_GB2312"/>
          <w:sz w:val="32"/>
          <w:szCs w:val="32"/>
        </w:rPr>
        <w:t>机构职能。</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1.宣传贯彻党和政府的各项医疗卫生方针政策，协助政府实施农村医改工作。</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2.提供基本医疗服务，开展农村常见病、多发病以及诊断明确的慢性非传染性疾病的诊疗护理。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3.贯彻落实国家基本药物制度，实行网上统一采购、统一配送的基本药物采购方式，实施基本药物零差价销售。</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4.协助开展突发公共卫生事件应急调查和处置工作，承担区域内公共卫生相关信息的采集和报告。</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5.对区域内村卫生室实行统一化管理，并指导卫生室和乡村医生的日常业务工作。</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提供公共卫生服务职能。主要是提供基本公共卫生服务，包括建立居民健康档案、健康教育、预防接种、传染病防治、高血压糖尿病等慢性病管理、重性精神病管理、儿童健康管理、孕产妇保健、老年人健康管理、卫生监管与监督、家庭签约服务等。</w:t>
      </w:r>
    </w:p>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人员概述</w:t>
      </w:r>
    </w:p>
    <w:p>
      <w:pPr>
        <w:numPr>
          <w:ilvl w:val="0"/>
          <w:numId w:val="0"/>
        </w:numPr>
        <w:spacing w:line="580" w:lineRule="exact"/>
        <w:ind w:firstLine="560" w:firstLineChars="200"/>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我单位</w:t>
      </w:r>
      <w:r>
        <w:rPr>
          <w:rFonts w:hint="eastAsia" w:ascii="仿宋_GB2312" w:hAnsi="仿宋_GB2312" w:eastAsia="仿宋_GB2312" w:cs="仿宋_GB2312"/>
          <w:kern w:val="0"/>
          <w:sz w:val="32"/>
          <w:szCs w:val="32"/>
          <w:shd w:val="clear" w:color="auto" w:fill="FFFFFF"/>
          <w:lang w:val="en-US" w:eastAsia="zh-CN" w:bidi="ar"/>
        </w:rPr>
        <w:t>在编人数41人，为事业编制。</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二、部门财政资金收支情况 </w:t>
      </w:r>
    </w:p>
    <w:p>
      <w:pPr>
        <w:keepNext w:val="0"/>
        <w:keepLines w:val="0"/>
        <w:widowControl/>
        <w:suppressLineNumbers w:val="0"/>
        <w:jc w:val="left"/>
      </w:pPr>
      <w:r>
        <w:rPr>
          <w:rFonts w:hint="eastAsia" w:ascii="楷体_GB2312" w:hAnsi="宋体" w:eastAsia="楷体_GB2312" w:cs="楷体_GB2312"/>
          <w:color w:val="000000"/>
          <w:kern w:val="0"/>
          <w:sz w:val="31"/>
          <w:szCs w:val="31"/>
          <w:lang w:val="en-US" w:eastAsia="zh-CN" w:bidi="ar"/>
        </w:rPr>
        <w:t xml:space="preserve">(一)部门财政资金收入情况 </w:t>
      </w:r>
    </w:p>
    <w:p>
      <w:pPr>
        <w:pStyle w:val="2"/>
        <w:ind w:left="0" w:leftChars="0"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2022年本年收入合计847.98万元，其中：一般公共预算财政拨款收入847.98万元，占100.00%；政府性基金预算财政拨款收入0.00万元，占0.00%；国有资本经营预算财政拨款收入0.00万元，占0.00%；上级补助收入0.00万元，占0.00%；事业收入0.00万元，占0.00%%；经营收入0.00万元，占0.00%%；附属单位上缴收入0.00万元，占0.00%；其他收入0.00万元，占0.00%。</w:t>
      </w:r>
    </w:p>
    <w:p>
      <w:pPr>
        <w:pStyle w:val="2"/>
        <w:ind w:left="0" w:leftChars="0"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2022年一般公共预算财政拨款支出847.98万元，主要用于以下方面:一般公共服务（类）支出0.00万元，占0.00%；教育支出（类）0.00万元，占</w:t>
      </w:r>
      <w:bookmarkStart w:id="1" w:name="_GoBack"/>
      <w:bookmarkEnd w:id="1"/>
      <w:r>
        <w:rPr>
          <w:rFonts w:hint="eastAsia" w:asciiTheme="minorEastAsia" w:hAnsiTheme="minorEastAsia" w:eastAsiaTheme="minorEastAsia" w:cstheme="minorEastAsia"/>
          <w:b w:val="0"/>
          <w:bCs w:val="0"/>
          <w:sz w:val="28"/>
          <w:szCs w:val="28"/>
          <w:lang w:val="en-US" w:eastAsia="zh-CN"/>
        </w:rPr>
        <w:t>0.00%；科学技术（类）支出0.00万元，占0.00%；文化旅游体育与传媒（类）支出0.00万元，占0.00%；社会保障和就业（类）支出125.66万元，占14.82%；卫生健康支出662.67万元，占78.15%；住房保障支出59.65万元，占7.03%；</w:t>
      </w:r>
    </w:p>
    <w:p>
      <w:pPr>
        <w:pStyle w:val="2"/>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三、部门财政支出管理情况</w:t>
      </w: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（一）预算编制情况</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（二）执行管理情况</w:t>
      </w:r>
    </w:p>
    <w:p>
      <w:pPr>
        <w:pStyle w:val="2"/>
        <w:rPr>
          <w:rFonts w:hint="eastAsia" w:ascii="仿宋" w:hAnsi="仿宋" w:eastAsia="仿宋"/>
          <w:color w:val="000000"/>
          <w:sz w:val="32"/>
          <w:szCs w:val="32"/>
        </w:rPr>
      </w:pPr>
      <w:r>
        <w:rPr>
          <w:rFonts w:hint="eastAsia" w:ascii="仿宋" w:hAnsi="仿宋" w:eastAsia="仿宋"/>
          <w:color w:val="000000"/>
          <w:sz w:val="32"/>
          <w:szCs w:val="32"/>
        </w:rPr>
        <w:t>严格执行“厉行节约、反对浪费”的规定，严格控制“三公”经费支出，加强公务用车管理，努力降低燃修费用，“三公”经费较上年有所下降。</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（三）综合管理情况 </w:t>
      </w:r>
    </w:p>
    <w:p>
      <w:pPr>
        <w:snapToGri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运行经费管理，对于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560" w:firstLineChars="200"/>
        <w:jc w:val="left"/>
        <w:rPr>
          <w:rFonts w:hint="eastAsia" w:ascii="仿宋" w:hAnsi="仿宋" w:eastAsia="仿宋"/>
          <w:color w:val="000000"/>
          <w:sz w:val="32"/>
          <w:szCs w:val="32"/>
        </w:rPr>
      </w:pPr>
      <w:r>
        <w:rPr>
          <w:rFonts w:hint="eastAsia" w:ascii="宋体" w:hAnsi="宋体" w:eastAsia="宋体" w:cs="宋体"/>
          <w:color w:val="000000"/>
          <w:sz w:val="28"/>
          <w:szCs w:val="28"/>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eastAsia="仿宋"/>
          <w:color w:val="000000"/>
          <w:sz w:val="32"/>
          <w:szCs w:val="32"/>
        </w:rPr>
        <w:t> </w:t>
      </w:r>
    </w:p>
    <w:p>
      <w:pPr>
        <w:pStyle w:val="6"/>
        <w:shd w:val="clear" w:color="auto" w:fill="FFFFFF"/>
        <w:spacing w:before="0" w:beforeAutospacing="0" w:after="0" w:afterAutospacing="0" w:line="360" w:lineRule="auto"/>
        <w:rPr>
          <w:rFonts w:hint="eastAsia" w:ascii="仿宋" w:hAnsi="仿宋" w:eastAsia="仿宋"/>
          <w:b/>
          <w:color w:val="333333"/>
          <w:sz w:val="32"/>
          <w:szCs w:val="32"/>
        </w:rPr>
      </w:pPr>
      <w:r>
        <w:rPr>
          <w:rFonts w:hint="eastAsia" w:ascii="仿宋" w:hAnsi="仿宋" w:eastAsia="仿宋"/>
          <w:color w:val="333333"/>
          <w:sz w:val="32"/>
          <w:szCs w:val="32"/>
        </w:rPr>
        <w:t>　</w:t>
      </w:r>
      <w:r>
        <w:rPr>
          <w:rFonts w:hint="eastAsia" w:ascii="仿宋" w:hAnsi="仿宋" w:eastAsia="仿宋"/>
          <w:b/>
          <w:color w:val="333333"/>
          <w:sz w:val="32"/>
          <w:szCs w:val="32"/>
        </w:rPr>
        <w:t>　四、评价结论及建议</w:t>
      </w:r>
      <w:r>
        <w:rPr>
          <w:rFonts w:hint="eastAsia" w:eastAsia="仿宋"/>
          <w:b/>
          <w:color w:val="333333"/>
          <w:sz w:val="32"/>
          <w:szCs w:val="32"/>
        </w:rPr>
        <w:t> </w:t>
      </w:r>
    </w:p>
    <w:p>
      <w:pPr>
        <w:spacing w:line="360" w:lineRule="auto"/>
        <w:ind w:firstLine="645"/>
        <w:jc w:val="left"/>
        <w:rPr>
          <w:rFonts w:hint="eastAsia" w:ascii="宋体" w:hAnsi="宋体" w:eastAsia="宋体" w:cs="宋体"/>
          <w:color w:val="000000"/>
          <w:sz w:val="28"/>
          <w:szCs w:val="28"/>
        </w:rPr>
      </w:pPr>
      <w:r>
        <w:rPr>
          <w:rFonts w:hint="eastAsia" w:ascii="宋体" w:hAnsi="宋体" w:eastAsia="宋体" w:cs="宋体"/>
          <w:color w:val="000000"/>
          <w:sz w:val="28"/>
          <w:szCs w:val="28"/>
        </w:rPr>
        <w:t>（一）评价结论</w:t>
      </w:r>
    </w:p>
    <w:p>
      <w:pPr>
        <w:spacing w:line="360" w:lineRule="auto"/>
        <w:ind w:firstLine="645"/>
        <w:jc w:val="left"/>
        <w:rPr>
          <w:rFonts w:hint="eastAsia" w:ascii="宋体" w:hAnsi="宋体" w:eastAsia="宋体" w:cs="宋体"/>
          <w:color w:val="000000"/>
          <w:sz w:val="28"/>
          <w:szCs w:val="28"/>
        </w:rPr>
      </w:pPr>
      <w:r>
        <w:rPr>
          <w:rFonts w:hint="eastAsia" w:ascii="宋体" w:hAnsi="宋体" w:eastAsia="宋体" w:cs="宋体"/>
          <w:color w:val="000000"/>
          <w:sz w:val="28"/>
          <w:szCs w:val="28"/>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6"/>
        <w:shd w:val="clear" w:color="auto" w:fill="FFFFFF"/>
        <w:spacing w:before="0" w:beforeAutospacing="0" w:after="0" w:afterAutospacing="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）改进建议 </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我们将进一步重视预算的编制工作，提高预算编制的精确度，提高财政资金使用效率，尽量减少预算执行调整、结转和结余注销的情形。</w:t>
      </w:r>
      <w:r>
        <w:rPr>
          <w:rFonts w:hint="eastAsia" w:eastAsia="仿宋"/>
          <w:color w:val="000000"/>
          <w:sz w:val="32"/>
          <w:szCs w:val="32"/>
        </w:rPr>
        <w:t> </w:t>
      </w:r>
    </w:p>
    <w:p>
      <w:pPr>
        <w:pStyle w:val="6"/>
        <w:shd w:val="clear" w:color="auto" w:fill="FFFFFF"/>
        <w:spacing w:before="0" w:beforeAutospacing="0" w:after="0" w:afterAutospacing="0" w:line="360" w:lineRule="auto"/>
        <w:rPr>
          <w:rFonts w:hint="eastAsia" w:ascii="仿宋" w:hAnsi="仿宋" w:eastAsia="仿宋"/>
          <w:sz w:val="32"/>
          <w:szCs w:val="32"/>
        </w:rPr>
      </w:pPr>
      <w:r>
        <w:rPr>
          <w:rFonts w:hint="eastAsia" w:ascii="仿宋" w:hAnsi="仿宋" w:eastAsia="仿宋"/>
          <w:sz w:val="32"/>
          <w:szCs w:val="32"/>
        </w:rPr>
        <w:t>　　</w:t>
      </w:r>
      <w:r>
        <w:rPr>
          <w:rFonts w:hint="eastAsia" w:eastAsia="仿宋"/>
          <w:sz w:val="32"/>
          <w:szCs w:val="32"/>
        </w:rPr>
        <w:t>  </w:t>
      </w:r>
    </w:p>
    <w:p>
      <w:pPr>
        <w:pStyle w:val="6"/>
        <w:shd w:val="clear" w:color="auto" w:fill="FFFFFF"/>
        <w:spacing w:before="0" w:beforeAutospacing="0" w:after="0" w:afterAutospacing="0" w:line="360" w:lineRule="auto"/>
        <w:rPr>
          <w:rFonts w:hint="eastAsia" w:ascii="仿宋" w:hAnsi="仿宋" w:eastAsia="仿宋"/>
          <w:sz w:val="32"/>
          <w:szCs w:val="32"/>
        </w:rPr>
      </w:pPr>
    </w:p>
    <w:p>
      <w:pPr>
        <w:pStyle w:val="6"/>
        <w:shd w:val="clear" w:color="auto" w:fill="FFFFFF"/>
        <w:spacing w:before="0" w:beforeAutospacing="0" w:after="0" w:afterAutospacing="0" w:line="360" w:lineRule="auto"/>
        <w:ind w:left="6240" w:hanging="6240" w:hangingChars="1950"/>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黑水县</w:t>
      </w:r>
      <w:r>
        <w:rPr>
          <w:rFonts w:hint="eastAsia" w:ascii="仿宋" w:hAnsi="仿宋" w:eastAsia="仿宋"/>
          <w:sz w:val="32"/>
          <w:szCs w:val="32"/>
          <w:lang w:val="en-US" w:eastAsia="zh-CN"/>
        </w:rPr>
        <w:t>知木林中心卫生院</w:t>
      </w:r>
    </w:p>
    <w:p>
      <w:pPr>
        <w:pStyle w:val="6"/>
        <w:shd w:val="clear" w:color="auto" w:fill="FFFFFF"/>
        <w:spacing w:before="0" w:beforeAutospacing="0" w:after="0" w:afterAutospacing="0" w:line="360" w:lineRule="auto"/>
        <w:ind w:firstLine="4480" w:firstLineChars="14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pStyle w:val="2"/>
        <w:rPr>
          <w:rFonts w:hint="eastAsia" w:ascii="仿宋" w:hAnsi="仿宋" w:eastAsia="仿宋"/>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491B22"/>
    <w:rsid w:val="00291808"/>
    <w:rsid w:val="00491B22"/>
    <w:rsid w:val="0052390C"/>
    <w:rsid w:val="08AD0CC8"/>
    <w:rsid w:val="1BD44FBF"/>
    <w:rsid w:val="1F457E33"/>
    <w:rsid w:val="25ED4C95"/>
    <w:rsid w:val="26660E24"/>
    <w:rsid w:val="28293CA6"/>
    <w:rsid w:val="2C480397"/>
    <w:rsid w:val="32840F22"/>
    <w:rsid w:val="34EB1F43"/>
    <w:rsid w:val="36435EC2"/>
    <w:rsid w:val="4915480B"/>
    <w:rsid w:val="4EBB0CBB"/>
    <w:rsid w:val="56FF3A83"/>
    <w:rsid w:val="581D30C0"/>
    <w:rsid w:val="60D032A5"/>
    <w:rsid w:val="687C04FF"/>
    <w:rsid w:val="696B32FB"/>
    <w:rsid w:val="6BAF060C"/>
    <w:rsid w:val="6BC92A1E"/>
    <w:rsid w:val="6E5D529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8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ind w:left="0" w:right="0"/>
      <w:jc w:val="left"/>
    </w:pPr>
    <w:rPr>
      <w:rFonts w:hint="default" w:ascii="宋体" w:hAnsi="宋体" w:eastAsia="宋体" w:cs="宋体"/>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4672</Words>
  <Characters>4941</Characters>
  <Lines>2</Lines>
  <Paragraphs>1</Paragraphs>
  <TotalTime>0</TotalTime>
  <ScaleCrop>false</ScaleCrop>
  <LinksUpToDate>false</LinksUpToDate>
  <CharactersWithSpaces>4948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保英姐</cp:lastModifiedBy>
  <dcterms:modified xsi:type="dcterms:W3CDTF">2023-09-23T18:17:37Z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8A4A084918BA4FD18892F5FFEBC054F8_13</vt:lpwstr>
  </property>
</Properties>
</file>