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黑水县维古中心卫生院</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3"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kern w:val="0"/>
          <w:sz w:val="32"/>
          <w:szCs w:val="32"/>
          <w:shd w:val="clear" w:color="auto" w:fill="FFFFFF"/>
          <w:lang w:val="en-US" w:eastAsia="zh-CN" w:bidi="ar"/>
        </w:rPr>
        <w:t>我单位是卫生健康局下属二级预算单位，在编人数54人，为事业编制。</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pStyle w:val="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 w:eastAsia="仿宋_GB2312" w:cs="仿宋_GB2312"/>
          <w:sz w:val="32"/>
          <w:szCs w:val="32"/>
          <w:lang w:val="en-US" w:eastAsia="zh-CN"/>
        </w:rPr>
        <w:t xml:space="preserve">    </w:t>
      </w:r>
      <w:r>
        <w:rPr>
          <w:rFonts w:hint="eastAsia" w:ascii="仿宋_GB2312" w:hAnsi="仿宋_GB2312" w:eastAsia="仿宋_GB2312" w:cs="仿宋_GB2312"/>
          <w:kern w:val="0"/>
          <w:sz w:val="32"/>
          <w:szCs w:val="32"/>
          <w:shd w:val="clear" w:color="auto" w:fill="FFFFFF"/>
          <w:lang w:val="en-US" w:eastAsia="zh-CN" w:bidi="ar"/>
        </w:rPr>
        <w:t>1.宣传贯彻党和政府的各项医疗卫生方针政策，协助政府实施农村医改工作。</w:t>
      </w:r>
    </w:p>
    <w:p>
      <w:pPr>
        <w:pStyle w:val="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2.提供基本医疗服务，开展农村常见病、多发病以及诊断明确的慢性非传染性疾病的诊疗护理。</w:t>
      </w:r>
    </w:p>
    <w:p>
      <w:pPr>
        <w:pStyle w:val="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3.贯彻落实国家基本药物制度，实行网上统一采购、统一配送的基本药物采购方式，实施基本药物零差价销售。</w:t>
      </w:r>
    </w:p>
    <w:p>
      <w:pPr>
        <w:pStyle w:val="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4.协助开展突发公共卫生事件应急调查和处置工作，承担区域内公共卫生相关信息的采集和报告。</w:t>
      </w:r>
    </w:p>
    <w:p>
      <w:pPr>
        <w:pStyle w:val="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5.对区域内村卫生室实行统一化管理，并指导卫生室和乡村医生的日常业务工作。</w:t>
      </w:r>
    </w:p>
    <w:p>
      <w:pPr>
        <w:pStyle w:val="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6.提供公共卫生服务职能。主要是提供基本公共卫生服务，包括建立居民健康档案、健康教育、预防接种、传染病防治、高血压糖尿病等慢性病管理、重性精神病管理、儿童健康管理、孕产妇保健、老年人健康管理、卫生监管与监督、家庭签约服务等。</w:t>
      </w:r>
    </w:p>
    <w:p>
      <w:pPr>
        <w:pStyle w:val="3"/>
        <w:widowControl w:val="0"/>
        <w:numPr>
          <w:ilvl w:val="0"/>
          <w:numId w:val="0"/>
        </w:numPr>
        <w:jc w:val="both"/>
      </w:pPr>
    </w:p>
    <w:p>
      <w:pPr>
        <w:pStyle w:val="3"/>
        <w:widowControl w:val="0"/>
        <w:numPr>
          <w:ilvl w:val="0"/>
          <w:numId w:val="0"/>
        </w:numPr>
        <w:jc w:val="both"/>
      </w:pPr>
    </w:p>
    <w:p>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pPr>
        <w:pStyle w:val="3"/>
        <w:numPr>
          <w:ilvl w:val="0"/>
          <w:numId w:val="0"/>
        </w:numPr>
        <w:ind w:leftChars="200" w:firstLine="420" w:firstLineChars="200"/>
        <w:rPr>
          <w:rFonts w:hint="default" w:eastAsia="宋体"/>
          <w:lang w:val="en-US" w:eastAsia="zh-CN"/>
        </w:rPr>
      </w:pPr>
      <w:r>
        <w:rPr>
          <w:rFonts w:hint="eastAsia"/>
          <w:lang w:val="en-US" w:eastAsia="zh-CN"/>
        </w:rPr>
        <w:t xml:space="preserve"> </w:t>
      </w:r>
      <w:r>
        <w:rPr>
          <w:rFonts w:hint="eastAsia" w:ascii="宋体" w:hAnsi="宋体" w:cs="宋体"/>
          <w:b w:val="0"/>
          <w:bCs w:val="0"/>
          <w:color w:val="auto"/>
          <w:sz w:val="28"/>
          <w:szCs w:val="28"/>
          <w:lang w:val="en-US" w:eastAsia="zh-CN"/>
        </w:rPr>
        <w:t>我单位</w:t>
      </w:r>
      <w:r>
        <w:rPr>
          <w:rFonts w:hint="eastAsia" w:ascii="仿宋_GB2312" w:hAnsi="仿宋_GB2312" w:eastAsia="仿宋_GB2312" w:cs="仿宋_GB2312"/>
          <w:kern w:val="0"/>
          <w:sz w:val="32"/>
          <w:szCs w:val="32"/>
          <w:shd w:val="clear" w:color="auto" w:fill="FFFFFF"/>
          <w:lang w:val="en-US" w:eastAsia="zh-CN" w:bidi="ar"/>
        </w:rPr>
        <w:t>在编人数54人，为事业编制</w:t>
      </w:r>
    </w:p>
    <w:p>
      <w:pPr>
        <w:numPr>
          <w:ilvl w:val="0"/>
          <w:numId w:val="2"/>
        </w:num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部门财政资金收支情况</w:t>
      </w:r>
    </w:p>
    <w:p>
      <w:pPr>
        <w:pStyle w:val="3"/>
        <w:numPr>
          <w:ilvl w:val="0"/>
          <w:numId w:val="0"/>
        </w:numPr>
        <w:rPr>
          <w:rFonts w:hint="default"/>
          <w:lang w:val="en-US" w:eastAsia="zh-CN"/>
        </w:rPr>
      </w:pPr>
      <w:r>
        <w:rPr>
          <w:rFonts w:hint="eastAsia"/>
          <w:lang w:val="en-US" w:eastAsia="zh-CN"/>
        </w:rPr>
        <w:t xml:space="preserve">          </w:t>
      </w:r>
    </w:p>
    <w:p>
      <w:pPr>
        <w:numPr>
          <w:ilvl w:val="0"/>
          <w:numId w:val="3"/>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部门财政资金收入情况。</w:t>
      </w:r>
    </w:p>
    <w:p>
      <w:pPr>
        <w:spacing w:line="600" w:lineRule="exact"/>
        <w:ind w:firstLine="630" w:firstLineChars="300"/>
        <w:outlineLvl w:val="1"/>
        <w:rPr>
          <w:rFonts w:ascii="仿宋_GB2312" w:hAnsi="仿宋" w:eastAsia="仿宋_GB2312"/>
          <w:color w:val="000000" w:themeColor="text1"/>
          <w:sz w:val="32"/>
          <w:szCs w:val="32"/>
          <w:shd w:val="clear" w:color="auto" w:fill="auto"/>
          <w14:textFill>
            <w14:solidFill>
              <w14:schemeClr w14:val="tx1"/>
            </w14:solidFill>
          </w14:textFill>
        </w:rPr>
      </w:pPr>
      <w:r>
        <w:rPr>
          <w:rFonts w:hint="eastAsia"/>
          <w:lang w:val="en-US" w:eastAsia="zh-CN"/>
        </w:rPr>
        <w:t xml:space="preserve"> </w:t>
      </w:r>
      <w:r>
        <w:rPr>
          <w:rFonts w:hint="eastAsia" w:ascii="仿宋_GB2312" w:hAnsi="仿宋" w:eastAsia="仿宋_GB2312"/>
          <w:color w:val="000000" w:themeColor="text1"/>
          <w:sz w:val="32"/>
          <w:szCs w:val="32"/>
          <w:shd w:val="clear" w:color="auto" w:fill="auto"/>
          <w:lang w:eastAsia="zh-CN"/>
          <w14:textFill>
            <w14:solidFill>
              <w14:schemeClr w14:val="tx1"/>
            </w14:solidFill>
          </w14:textFill>
        </w:rPr>
        <w:t>2024年</w:t>
      </w:r>
      <w:r>
        <w:rPr>
          <w:rFonts w:hint="eastAsia" w:ascii="仿宋_GB2312" w:hAnsi="仿宋" w:eastAsia="仿宋_GB2312"/>
          <w:color w:val="000000" w:themeColor="text1"/>
          <w:sz w:val="32"/>
          <w:szCs w:val="32"/>
          <w:shd w:val="clear" w:color="auto" w:fill="auto"/>
          <w14:textFill>
            <w14:solidFill>
              <w14:schemeClr w14:val="tx1"/>
            </w14:solidFill>
          </w14:textFill>
        </w:rPr>
        <w:t>本年收入合计</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1125.9</w:t>
      </w:r>
      <w:r>
        <w:rPr>
          <w:rFonts w:hint="eastAsia" w:ascii="仿宋_GB2312" w:hAnsi="仿宋" w:eastAsia="仿宋_GB2312"/>
          <w:color w:val="000000" w:themeColor="text1"/>
          <w:sz w:val="32"/>
          <w:szCs w:val="32"/>
          <w:shd w:val="clear" w:color="auto" w:fill="auto"/>
          <w14:textFill>
            <w14:solidFill>
              <w14:schemeClr w14:val="tx1"/>
            </w14:solidFill>
          </w14:textFill>
        </w:rPr>
        <w:t>万元，其中：一般公共预算财政拨款收入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1125.9</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100</w:t>
      </w:r>
      <w:r>
        <w:rPr>
          <w:rFonts w:hint="eastAsia" w:ascii="仿宋_GB2312" w:hAnsi="仿宋" w:eastAsia="仿宋_GB2312"/>
          <w:color w:val="000000" w:themeColor="text1"/>
          <w:sz w:val="32"/>
          <w:szCs w:val="32"/>
          <w:shd w:val="clear" w:color="auto" w:fill="auto"/>
          <w14:textFill>
            <w14:solidFill>
              <w14:schemeClr w14:val="tx1"/>
            </w14:solidFill>
          </w14:textFill>
        </w:rPr>
        <w:t>%；政府性基金预算财政拨款收入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%；国有资本经营预算财政拨款收入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%；事业收入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%；经营收入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%；附属单位上缴收入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%；其他收入</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w:t>
      </w:r>
    </w:p>
    <w:p>
      <w:pPr>
        <w:pStyle w:val="2"/>
        <w:ind w:left="0" w:leftChars="0" w:firstLine="0" w:firstLineChars="0"/>
        <w:rPr>
          <w:rFonts w:hint="default" w:eastAsia="宋体"/>
          <w:lang w:val="en-US" w:eastAsia="zh-CN"/>
        </w:rPr>
      </w:pPr>
      <w:r>
        <w:rPr>
          <w:rFonts w:hint="eastAsia"/>
          <w:lang w:val="en-US" w:eastAsia="zh-CN"/>
        </w:rPr>
        <w:t xml:space="preserve">  </w:t>
      </w:r>
    </w:p>
    <w:p>
      <w:pPr>
        <w:numPr>
          <w:ilvl w:val="0"/>
          <w:numId w:val="3"/>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spacing w:line="600" w:lineRule="exact"/>
        <w:ind w:firstLine="640"/>
        <w:rPr>
          <w:rFonts w:hint="eastAsia" w:ascii="仿宋_GB2312" w:hAnsi="仿宋" w:eastAsia="仿宋_GB2312"/>
          <w:color w:val="000000" w:themeColor="text1"/>
          <w:sz w:val="32"/>
          <w:szCs w:val="32"/>
          <w:shd w:val="clear" w:color="auto" w:fill="auto"/>
          <w14:textFill>
            <w14:solidFill>
              <w14:schemeClr w14:val="tx1"/>
            </w14:solidFill>
          </w14:textFill>
        </w:rPr>
      </w:pPr>
      <w:r>
        <w:rPr>
          <w:rFonts w:hint="eastAsia"/>
          <w:lang w:val="en-US" w:eastAsia="zh-CN"/>
        </w:rPr>
        <w:t xml:space="preserve"> </w:t>
      </w:r>
      <w:r>
        <w:rPr>
          <w:rFonts w:hint="eastAsia" w:ascii="仿宋_GB2312" w:hAnsi="仿宋" w:eastAsia="仿宋_GB2312"/>
          <w:color w:val="000000" w:themeColor="text1"/>
          <w:sz w:val="32"/>
          <w:szCs w:val="32"/>
          <w:shd w:val="clear" w:color="auto" w:fill="auto"/>
          <w:lang w:eastAsia="zh-CN"/>
          <w14:textFill>
            <w14:solidFill>
              <w14:schemeClr w14:val="tx1"/>
            </w14:solidFill>
          </w14:textFill>
        </w:rPr>
        <w:t>2024年</w:t>
      </w:r>
      <w:r>
        <w:rPr>
          <w:rFonts w:hint="eastAsia" w:ascii="仿宋_GB2312" w:hAnsi="仿宋" w:eastAsia="仿宋_GB2312"/>
          <w:color w:val="000000" w:themeColor="text1"/>
          <w:sz w:val="32"/>
          <w:szCs w:val="32"/>
          <w:shd w:val="clear" w:color="auto" w:fill="auto"/>
          <w14:textFill>
            <w14:solidFill>
              <w14:schemeClr w14:val="tx1"/>
            </w14:solidFill>
          </w14:textFill>
        </w:rPr>
        <w:t>一般公共预算财政拨款支出</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1125.9</w:t>
      </w:r>
      <w:r>
        <w:rPr>
          <w:rFonts w:hint="eastAsia" w:ascii="仿宋_GB2312" w:hAnsi="仿宋" w:eastAsia="仿宋_GB2312"/>
          <w:color w:val="000000" w:themeColor="text1"/>
          <w:sz w:val="32"/>
          <w:szCs w:val="32"/>
          <w:shd w:val="clear" w:color="auto" w:fill="auto"/>
          <w14:textFill>
            <w14:solidFill>
              <w14:schemeClr w14:val="tx1"/>
            </w14:solidFill>
          </w14:textFill>
        </w:rPr>
        <w:t>万元，主要用于以下方面</w:t>
      </w:r>
      <w:r>
        <w:rPr>
          <w:rFonts w:hint="eastAsia" w:ascii="仿宋_GB2312" w:hAnsi="仿宋" w:eastAsia="仿宋_GB2312"/>
          <w:b w:val="0"/>
          <w:bCs w:val="0"/>
          <w:color w:val="000000" w:themeColor="text1"/>
          <w:sz w:val="32"/>
          <w:szCs w:val="32"/>
          <w:shd w:val="clear" w:color="auto" w:fill="auto"/>
          <w14:textFill>
            <w14:solidFill>
              <w14:schemeClr w14:val="tx1"/>
            </w14:solidFill>
          </w14:textFill>
        </w:rPr>
        <w:t>:一般公共服务（类）</w:t>
      </w:r>
      <w:r>
        <w:rPr>
          <w:rFonts w:hint="eastAsia" w:ascii="仿宋_GB2312" w:hAnsi="仿宋" w:eastAsia="仿宋_GB2312"/>
          <w:color w:val="000000" w:themeColor="text1"/>
          <w:sz w:val="32"/>
          <w:szCs w:val="32"/>
          <w:shd w:val="clear" w:color="auto" w:fill="auto"/>
          <w14:textFill>
            <w14:solidFill>
              <w14:schemeClr w14:val="tx1"/>
            </w14:solidFill>
          </w14:textFill>
        </w:rPr>
        <w:t>支出</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color w:val="000000" w:themeColor="text1"/>
          <w:sz w:val="32"/>
          <w:szCs w:val="32"/>
          <w:shd w:val="clear" w:color="auto" w:fill="auto"/>
          <w14:textFill>
            <w14:solidFill>
              <w14:schemeClr w14:val="tx1"/>
            </w14:solidFill>
          </w14:textFill>
        </w:rPr>
        <w:t>%；</w:t>
      </w:r>
      <w:r>
        <w:rPr>
          <w:rFonts w:hint="eastAsia" w:ascii="仿宋_GB2312" w:hAnsi="仿宋" w:eastAsia="仿宋_GB2312"/>
          <w:b w:val="0"/>
          <w:bCs/>
          <w:color w:val="000000" w:themeColor="text1"/>
          <w:sz w:val="32"/>
          <w:szCs w:val="32"/>
          <w:shd w:val="clear" w:color="auto" w:fill="auto"/>
          <w14:textFill>
            <w14:solidFill>
              <w14:schemeClr w14:val="tx1"/>
            </w14:solidFill>
          </w14:textFill>
        </w:rPr>
        <w:t>教育支出（类）</w:t>
      </w:r>
      <w:r>
        <w:rPr>
          <w:rFonts w:hint="eastAsia" w:ascii="仿宋_GB2312" w:hAnsi="仿宋" w:eastAsia="仿宋_GB2312"/>
          <w:b w:val="0"/>
          <w:bCs/>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b w:val="0"/>
          <w:bCs/>
          <w:color w:val="000000" w:themeColor="text1"/>
          <w:sz w:val="32"/>
          <w:szCs w:val="32"/>
          <w:shd w:val="clear" w:color="auto" w:fill="auto"/>
          <w14:textFill>
            <w14:solidFill>
              <w14:schemeClr w14:val="tx1"/>
            </w14:solidFill>
          </w14:textFill>
        </w:rPr>
        <w:t>万元，占</w:t>
      </w:r>
      <w:r>
        <w:rPr>
          <w:rFonts w:hint="eastAsia" w:ascii="仿宋_GB2312" w:hAnsi="仿宋" w:eastAsia="仿宋_GB2312"/>
          <w:b w:val="0"/>
          <w:bCs/>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b w:val="0"/>
          <w:bCs/>
          <w:color w:val="000000" w:themeColor="text1"/>
          <w:sz w:val="32"/>
          <w:szCs w:val="32"/>
          <w:shd w:val="clear" w:color="auto" w:fill="auto"/>
          <w14:textFill>
            <w14:solidFill>
              <w14:schemeClr w14:val="tx1"/>
            </w14:solidFill>
          </w14:textFill>
        </w:rPr>
        <w:t>%；科学技术（类）支出</w:t>
      </w:r>
      <w:r>
        <w:rPr>
          <w:rFonts w:hint="eastAsia" w:ascii="仿宋_GB2312" w:hAnsi="仿宋" w:eastAsia="仿宋_GB2312"/>
          <w:b w:val="0"/>
          <w:bCs/>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b w:val="0"/>
          <w:bCs/>
          <w:color w:val="000000" w:themeColor="text1"/>
          <w:sz w:val="32"/>
          <w:szCs w:val="32"/>
          <w:shd w:val="clear" w:color="auto" w:fill="auto"/>
          <w14:textFill>
            <w14:solidFill>
              <w14:schemeClr w14:val="tx1"/>
            </w14:solidFill>
          </w14:textFill>
        </w:rPr>
        <w:t>万元，占</w:t>
      </w:r>
      <w:r>
        <w:rPr>
          <w:rFonts w:hint="eastAsia" w:ascii="仿宋_GB2312" w:hAnsi="仿宋" w:eastAsia="仿宋_GB2312"/>
          <w:b w:val="0"/>
          <w:bCs/>
          <w:color w:val="000000" w:themeColor="text1"/>
          <w:sz w:val="32"/>
          <w:szCs w:val="32"/>
          <w:shd w:val="clear" w:color="auto" w:fill="auto"/>
          <w:lang w:val="en-US" w:eastAsia="zh-CN"/>
          <w14:textFill>
            <w14:solidFill>
              <w14:schemeClr w14:val="tx1"/>
            </w14:solidFill>
          </w14:textFill>
        </w:rPr>
        <w:t>0</w:t>
      </w:r>
      <w:r>
        <w:rPr>
          <w:rFonts w:hint="eastAsia" w:ascii="仿宋_GB2312" w:hAnsi="仿宋" w:eastAsia="仿宋_GB2312"/>
          <w:b w:val="0"/>
          <w:bCs/>
          <w:color w:val="000000" w:themeColor="text1"/>
          <w:sz w:val="32"/>
          <w:szCs w:val="32"/>
          <w:shd w:val="clear" w:color="auto" w:fill="auto"/>
          <w14:textFill>
            <w14:solidFill>
              <w14:schemeClr w14:val="tx1"/>
            </w14:solidFill>
          </w14:textFill>
        </w:rPr>
        <w:t>%；社会保障和就业（类）支出</w:t>
      </w:r>
      <w:r>
        <w:rPr>
          <w:rFonts w:hint="eastAsia" w:ascii="仿宋_GB2312" w:hAnsi="仿宋" w:eastAsia="仿宋_GB2312"/>
          <w:b w:val="0"/>
          <w:bCs/>
          <w:color w:val="000000" w:themeColor="text1"/>
          <w:sz w:val="32"/>
          <w:szCs w:val="32"/>
          <w:shd w:val="clear" w:color="auto" w:fill="auto"/>
          <w:lang w:val="en-US" w:eastAsia="zh-CN"/>
          <w14:textFill>
            <w14:solidFill>
              <w14:schemeClr w14:val="tx1"/>
            </w14:solidFill>
          </w14:textFill>
        </w:rPr>
        <w:t>206.96</w:t>
      </w:r>
      <w:r>
        <w:rPr>
          <w:rFonts w:hint="eastAsia" w:ascii="仿宋_GB2312" w:hAnsi="仿宋" w:eastAsia="仿宋_GB2312"/>
          <w:b w:val="0"/>
          <w:bCs/>
          <w:color w:val="000000" w:themeColor="text1"/>
          <w:sz w:val="32"/>
          <w:szCs w:val="32"/>
          <w:shd w:val="clear" w:color="auto" w:fill="auto"/>
          <w14:textFill>
            <w14:solidFill>
              <w14:schemeClr w14:val="tx1"/>
            </w14:solidFill>
          </w14:textFill>
        </w:rPr>
        <w:t>万</w:t>
      </w:r>
      <w:r>
        <w:rPr>
          <w:rFonts w:hint="eastAsia" w:ascii="仿宋_GB2312" w:hAnsi="仿宋" w:eastAsia="仿宋_GB2312"/>
          <w:color w:val="000000" w:themeColor="text1"/>
          <w:sz w:val="32"/>
          <w:szCs w:val="32"/>
          <w:shd w:val="clear" w:color="auto" w:fill="auto"/>
          <w14:textFill>
            <w14:solidFill>
              <w14:schemeClr w14:val="tx1"/>
            </w14:solidFill>
          </w14:textFill>
        </w:rPr>
        <w:t>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18</w:t>
      </w:r>
      <w:r>
        <w:rPr>
          <w:rFonts w:hint="eastAsia" w:ascii="仿宋_GB2312" w:hAnsi="仿宋" w:eastAsia="仿宋_GB2312"/>
          <w:color w:val="000000" w:themeColor="text1"/>
          <w:sz w:val="32"/>
          <w:szCs w:val="32"/>
          <w:shd w:val="clear" w:color="auto" w:fill="auto"/>
          <w14:textFill>
            <w14:solidFill>
              <w14:schemeClr w14:val="tx1"/>
            </w14:solidFill>
          </w14:textFill>
        </w:rPr>
        <w:t>%；卫生</w:t>
      </w:r>
      <w:r>
        <w:rPr>
          <w:rFonts w:hint="eastAsia" w:ascii="仿宋_GB2312" w:hAnsi="仿宋" w:eastAsia="仿宋_GB2312"/>
          <w:color w:val="000000" w:themeColor="text1"/>
          <w:sz w:val="32"/>
          <w:szCs w:val="32"/>
          <w:shd w:val="clear" w:color="auto" w:fill="auto"/>
          <w:lang w:eastAsia="zh-CN"/>
          <w14:textFill>
            <w14:solidFill>
              <w14:schemeClr w14:val="tx1"/>
            </w14:solidFill>
          </w14:textFill>
        </w:rPr>
        <w:t>健康</w:t>
      </w:r>
      <w:r>
        <w:rPr>
          <w:rFonts w:hint="eastAsia" w:ascii="仿宋_GB2312" w:hAnsi="仿宋" w:eastAsia="仿宋_GB2312"/>
          <w:color w:val="000000" w:themeColor="text1"/>
          <w:sz w:val="32"/>
          <w:szCs w:val="32"/>
          <w:shd w:val="clear" w:color="auto" w:fill="auto"/>
          <w14:textFill>
            <w14:solidFill>
              <w14:schemeClr w14:val="tx1"/>
            </w14:solidFill>
          </w14:textFill>
        </w:rPr>
        <w:t>支出</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831.57</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74</w:t>
      </w:r>
      <w:r>
        <w:rPr>
          <w:rFonts w:hint="eastAsia" w:ascii="仿宋_GB2312" w:hAnsi="仿宋" w:eastAsia="仿宋_GB2312"/>
          <w:color w:val="000000" w:themeColor="text1"/>
          <w:sz w:val="32"/>
          <w:szCs w:val="32"/>
          <w:shd w:val="clear" w:color="auto" w:fill="auto"/>
          <w14:textFill>
            <w14:solidFill>
              <w14:schemeClr w14:val="tx1"/>
            </w14:solidFill>
          </w14:textFill>
        </w:rPr>
        <w:t>%；住房保障支出</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87.37</w:t>
      </w:r>
      <w:r>
        <w:rPr>
          <w:rFonts w:hint="eastAsia" w:ascii="仿宋_GB2312" w:hAnsi="仿宋" w:eastAsia="仿宋_GB2312"/>
          <w:color w:val="000000" w:themeColor="text1"/>
          <w:sz w:val="32"/>
          <w:szCs w:val="32"/>
          <w:shd w:val="clear" w:color="auto" w:fill="auto"/>
          <w14:textFill>
            <w14:solidFill>
              <w14:schemeClr w14:val="tx1"/>
            </w14:solidFill>
          </w14:textFill>
        </w:rPr>
        <w:t>万元，占</w:t>
      </w:r>
      <w:r>
        <w:rPr>
          <w:rFonts w:hint="eastAsia" w:ascii="仿宋_GB2312" w:hAnsi="仿宋" w:eastAsia="仿宋_GB2312"/>
          <w:color w:val="000000" w:themeColor="text1"/>
          <w:sz w:val="32"/>
          <w:szCs w:val="32"/>
          <w:shd w:val="clear" w:color="auto" w:fill="auto"/>
          <w:lang w:val="en-US" w:eastAsia="zh-CN"/>
          <w14:textFill>
            <w14:solidFill>
              <w14:schemeClr w14:val="tx1"/>
            </w14:solidFill>
          </w14:textFill>
        </w:rPr>
        <w:t>8</w:t>
      </w:r>
      <w:r>
        <w:rPr>
          <w:rFonts w:hint="eastAsia" w:ascii="仿宋_GB2312" w:hAnsi="仿宋" w:eastAsia="仿宋_GB2312"/>
          <w:color w:val="000000" w:themeColor="text1"/>
          <w:sz w:val="32"/>
          <w:szCs w:val="32"/>
          <w:shd w:val="clear" w:color="auto" w:fill="auto"/>
          <w14:textFill>
            <w14:solidFill>
              <w14:schemeClr w14:val="tx1"/>
            </w14:solidFill>
          </w14:textFill>
        </w:rPr>
        <w:t>%。</w:t>
      </w:r>
      <w:bookmarkStart w:id="1" w:name="_GoBack"/>
      <w:bookmarkEnd w:id="1"/>
    </w:p>
    <w:p>
      <w:pPr>
        <w:pStyle w:val="2"/>
        <w:numPr>
          <w:ilvl w:val="0"/>
          <w:numId w:val="0"/>
        </w:numPr>
        <w:ind w:leftChars="200"/>
        <w:rPr>
          <w:rFonts w:hint="eastAsia" w:eastAsia="宋体"/>
          <w:lang w:val="en-US" w:eastAsia="zh-CN"/>
        </w:rPr>
      </w:pPr>
    </w:p>
    <w:p>
      <w:pPr>
        <w:numPr>
          <w:ilvl w:val="0"/>
          <w:numId w:val="2"/>
        </w:numPr>
        <w:spacing w:line="580" w:lineRule="exact"/>
        <w:ind w:left="0" w:leftChars="0"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部门整体预算绩效管理情况</w:t>
      </w:r>
    </w:p>
    <w:p>
      <w:pPr>
        <w:numPr>
          <w:ilvl w:val="0"/>
          <w:numId w:val="0"/>
        </w:numPr>
        <w:spacing w:line="580" w:lineRule="exact"/>
        <w:ind w:left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spacing w:line="58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pStyle w:val="3"/>
        <w:rPr>
          <w:rFonts w:hint="eastAsia" w:asciiTheme="minorEastAsia" w:hAnsiTheme="minorEastAsia" w:eastAsiaTheme="minorEastAsia" w:cstheme="minorEastAsia"/>
          <w:sz w:val="28"/>
          <w:szCs w:val="28"/>
          <w:lang w:val="en-US" w:eastAsia="zh-CN"/>
        </w:rPr>
      </w:pPr>
      <w:r>
        <w:rPr>
          <w:rFonts w:hint="eastAsia" w:ascii="仿宋" w:hAnsi="仿宋" w:eastAsia="仿宋"/>
          <w:color w:val="000000"/>
          <w:sz w:val="32"/>
          <w:szCs w:val="32"/>
        </w:rPr>
        <w:t>严格执行“厉行节约、反对浪费”的规定，严格控制“三公”经费支出，加强公务用车管理，努力降低燃修费用，“三公”经费较上年有所下降。</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snapToGrid w:val="0"/>
        <w:spacing w:line="360" w:lineRule="auto"/>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运行经费管理，对于资产管理做到正确核算，加强固定资产购置、使用及保管。账务及各类报表公开、准确如实反映，做到信息及时公开等。各项规章制度健全，制度执行严格合规。会计核算符合相关财务管理规定。资金管理方面，各项资金均实行专款专用，严格依法依规执行资金支付依据和开支标准,严格执行政府采购制度。</w:t>
      </w:r>
    </w:p>
    <w:p>
      <w:pPr>
        <w:snapToGrid w:val="0"/>
        <w:spacing w:line="360" w:lineRule="auto"/>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 </w:t>
      </w: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pStyle w:val="3"/>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color w:val="000000"/>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pPr>
        <w:pStyle w:val="2"/>
      </w:pPr>
    </w:p>
    <w:p>
      <w:pPr>
        <w:numPr>
          <w:ilvl w:val="0"/>
          <w:numId w:val="3"/>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pPr>
        <w:widowControl/>
        <w:adjustRightInd w:val="0"/>
        <w:snapToGrid w:val="0"/>
        <w:spacing w:line="580" w:lineRule="exact"/>
        <w:ind w:firstLine="420" w:firstLineChars="200"/>
        <w:jc w:val="left"/>
      </w:pPr>
      <w:r>
        <w:rPr>
          <w:rFonts w:hint="eastAsia"/>
          <w:lang w:val="en-US" w:eastAsia="zh-CN"/>
        </w:rPr>
        <w:t xml:space="preserve">  </w:t>
      </w:r>
      <w:r>
        <w:rPr>
          <w:rFonts w:hint="eastAsia" w:ascii="仿宋" w:hAnsi="仿宋" w:eastAsia="仿宋" w:cs="仿宋"/>
          <w:sz w:val="32"/>
          <w:szCs w:val="32"/>
        </w:rPr>
        <w:t>单位内部各部门沟通方式有待协调改进。</w:t>
      </w:r>
    </w:p>
    <w:p>
      <w:pPr>
        <w:pStyle w:val="2"/>
        <w:numPr>
          <w:ilvl w:val="0"/>
          <w:numId w:val="0"/>
        </w:numPr>
        <w:ind w:leftChars="200"/>
        <w:rPr>
          <w:rFonts w:hint="default" w:eastAsia="宋体"/>
          <w:lang w:val="en-US" w:eastAsia="zh-CN"/>
        </w:rPr>
      </w:pPr>
    </w:p>
    <w:p>
      <w:pPr>
        <w:numPr>
          <w:ilvl w:val="0"/>
          <w:numId w:val="3"/>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改进建议。</w:t>
      </w:r>
    </w:p>
    <w:p>
      <w:pPr>
        <w:spacing w:line="580" w:lineRule="exact"/>
        <w:ind w:firstLine="640" w:firstLineChars="200"/>
        <w:rPr>
          <w:rFonts w:ascii="仿宋_GB2312" w:hAnsi="仿宋_GB2312" w:eastAsia="仿宋_GB2312" w:cs="仿宋_GB2312"/>
          <w:sz w:val="32"/>
          <w:szCs w:val="32"/>
        </w:rPr>
      </w:pPr>
      <w:r>
        <w:rPr>
          <w:rFonts w:hint="eastAsia" w:ascii="仿宋" w:hAnsi="仿宋" w:eastAsia="仿宋"/>
          <w:color w:val="000000"/>
          <w:sz w:val="32"/>
          <w:szCs w:val="32"/>
        </w:rPr>
        <w:t>我们将进一步重视预算的编制工作，提高预算编制的精确度，提高财政资金使用效率，尽量减少预算执行调整、结转和结余注销的情形。</w:t>
      </w:r>
    </w:p>
    <w:p>
      <w:pPr>
        <w:pStyle w:val="2"/>
        <w:numPr>
          <w:ilvl w:val="0"/>
          <w:numId w:val="0"/>
        </w:numPr>
        <w:ind w:leftChars="200"/>
      </w:pP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50A182"/>
    <w:multiLevelType w:val="singleLevel"/>
    <w:tmpl w:val="8B50A182"/>
    <w:lvl w:ilvl="0" w:tentative="0">
      <w:start w:val="2"/>
      <w:numFmt w:val="chineseCounting"/>
      <w:suff w:val="nothing"/>
      <w:lvlText w:val="%1、"/>
      <w:lvlJc w:val="left"/>
      <w:rPr>
        <w:rFonts w:hint="eastAsia"/>
      </w:rPr>
    </w:lvl>
  </w:abstractNum>
  <w:abstractNum w:abstractNumId="1">
    <w:nsid w:val="A79C8A40"/>
    <w:multiLevelType w:val="singleLevel"/>
    <w:tmpl w:val="A79C8A40"/>
    <w:lvl w:ilvl="0" w:tentative="0">
      <w:start w:val="1"/>
      <w:numFmt w:val="chineseCounting"/>
      <w:suff w:val="nothing"/>
      <w:lvlText w:val="（%1）"/>
      <w:lvlJc w:val="left"/>
      <w:rPr>
        <w:rFonts w:hint="eastAsia"/>
      </w:rPr>
    </w:lvl>
  </w:abstractNum>
  <w:abstractNum w:abstractNumId="2">
    <w:nsid w:val="20AE4063"/>
    <w:multiLevelType w:val="singleLevel"/>
    <w:tmpl w:val="20AE4063"/>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kNzNjMTVjMjRkY2M4MDkwZjEwYTZhMmZhNThhN2IifQ=="/>
  </w:docVars>
  <w:rsids>
    <w:rsidRoot w:val="00491B22"/>
    <w:rsid w:val="00291808"/>
    <w:rsid w:val="00491B22"/>
    <w:rsid w:val="0052390C"/>
    <w:rsid w:val="025F16FA"/>
    <w:rsid w:val="030D63DF"/>
    <w:rsid w:val="11AB6404"/>
    <w:rsid w:val="1A2151AF"/>
    <w:rsid w:val="1C550F17"/>
    <w:rsid w:val="2CD3362B"/>
    <w:rsid w:val="34EB1F43"/>
    <w:rsid w:val="36435EC2"/>
    <w:rsid w:val="4299327C"/>
    <w:rsid w:val="43EB7E23"/>
    <w:rsid w:val="4DD97D2F"/>
    <w:rsid w:val="60D032A5"/>
    <w:rsid w:val="68EA0085"/>
    <w:rsid w:val="70F96C28"/>
    <w:rsid w:val="7CFA5C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unhideWhenUsed/>
    <w:qFormat/>
    <w:uiPriority w:val="99"/>
    <w:pPr>
      <w:ind w:left="200" w:leftChars="200" w:hanging="200" w:hangingChars="200"/>
    </w:pPr>
  </w:style>
  <w:style w:type="paragraph" w:styleId="3">
    <w:name w:val="Normal Indent"/>
    <w:unhideWhenUsed/>
    <w:qFormat/>
    <w:uiPriority w:val="99"/>
    <w:pPr>
      <w:widowControl w:val="0"/>
      <w:ind w:firstLine="680"/>
      <w:jc w:val="both"/>
    </w:pPr>
    <w:rPr>
      <w:rFonts w:ascii="Times New Roman" w:hAnsi="Times New Roman" w:eastAsia="宋体" w:cs="Times New Roman"/>
      <w:kern w:val="2"/>
      <w:sz w:val="21"/>
      <w:szCs w:val="24"/>
      <w:lang w:val="en-US" w:eastAsia="zh-CN" w:bidi="ar-SA"/>
    </w:rPr>
  </w:style>
  <w:style w:type="paragraph" w:styleId="4">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spacing w:before="100" w:beforeAutospacing="1" w:after="100" w:afterAutospacing="1"/>
      <w:ind w:left="0" w:right="0"/>
      <w:jc w:val="left"/>
    </w:pPr>
    <w:rPr>
      <w:rFonts w:hint="default" w:ascii="宋体" w:hAnsi="宋体" w:eastAsia="宋体" w:cs="宋体"/>
      <w:kern w:val="0"/>
      <w:sz w:val="24"/>
      <w:lang w:val="en-US" w:eastAsia="zh-CN" w:bidi="ar"/>
    </w:r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1453</Words>
  <Characters>1522</Characters>
  <Lines>2</Lines>
  <Paragraphs>1</Paragraphs>
  <TotalTime>26</TotalTime>
  <ScaleCrop>false</ScaleCrop>
  <LinksUpToDate>false</LinksUpToDate>
  <CharactersWithSpaces>1545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རབ་འཕེལ།</cp:lastModifiedBy>
  <cp:lastPrinted>2025-08-24T02:02:00Z</cp:lastPrinted>
  <dcterms:modified xsi:type="dcterms:W3CDTF">2025-08-26T06:42:20Z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05E711D8B1564C75AD4A3894685FC8F6_13</vt:lpwstr>
  </property>
  <property fmtid="{D5CDD505-2E9C-101B-9397-08002B2CF9AE}" pid="4" name="KSOTemplateDocerSaveRecord">
    <vt:lpwstr>eyJoZGlkIjoiYzM0YTY3ZDVmN2U0MDBiOTFjZTMwYzRkMzM5ZmM4NWEiLCJ1c2VySWQiOiI1MDY5MTIwODgifQ==</vt:lpwstr>
  </property>
</Properties>
</file>