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黑水县卫生健康局（行政）</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4</w:t>
      </w:r>
      <w:r>
        <w:rPr>
          <w:rFonts w:hint="eastAsia" w:ascii="方正小标宋_GBK" w:hAnsi="方正小标宋_GBK" w:eastAsia="方正小标宋_GBK" w:cs="方正小标宋_GBK"/>
          <w:sz w:val="44"/>
          <w:szCs w:val="44"/>
        </w:rPr>
        <w:t>年部门整体支出绩效评价报告</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方正小标宋_GBK" w:hAnsi="方正小标宋_GBK" w:eastAsia="方正小标宋_GBK" w:cs="方正小标宋_GBK"/>
          <w:sz w:val="44"/>
          <w:szCs w:val="44"/>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60" w:lineRule="exact"/>
        <w:ind w:firstLine="640" w:firstLineChars="200"/>
        <w:jc w:val="left"/>
        <w:textAlignment w:val="auto"/>
        <w:outlineLvl w:val="1"/>
        <w:rPr>
          <w:rFonts w:hint="eastAsia" w:ascii="仿宋_GB2312" w:eastAsia="仿宋_GB2312"/>
          <w:b w:val="0"/>
          <w:bCs w:val="0"/>
          <w:sz w:val="32"/>
          <w:szCs w:val="32"/>
          <w:lang w:val="en-US" w:eastAsia="zh-CN"/>
        </w:rPr>
      </w:pPr>
      <w:r>
        <w:rPr>
          <w:rFonts w:hint="eastAsia" w:ascii="仿宋_GB2312" w:hAnsi="仿宋_GB2312" w:eastAsia="仿宋_GB2312" w:cs="仿宋_GB2312"/>
          <w:b w:val="0"/>
          <w:bCs/>
          <w:color w:val="000000"/>
          <w:sz w:val="32"/>
          <w:szCs w:val="32"/>
          <w:lang w:eastAsia="zh-CN"/>
        </w:rPr>
        <w:t>黑水县卫生健康局（行政）是县一级预算单位。</w:t>
      </w:r>
      <w:r>
        <w:rPr>
          <w:rFonts w:hint="eastAsia" w:ascii="仿宋_GB2312" w:eastAsia="仿宋_GB2312"/>
          <w:b w:val="0"/>
          <w:bCs w:val="0"/>
          <w:sz w:val="32"/>
          <w:szCs w:val="32"/>
          <w:lang w:eastAsia="zh-CN"/>
        </w:rPr>
        <w:t>总编制</w:t>
      </w:r>
      <w:r>
        <w:rPr>
          <w:rFonts w:hint="eastAsia" w:ascii="仿宋_GB2312" w:eastAsia="仿宋_GB2312"/>
          <w:b w:val="0"/>
          <w:bCs w:val="0"/>
          <w:sz w:val="32"/>
          <w:szCs w:val="32"/>
          <w:lang w:val="en-US" w:eastAsia="zh-CN"/>
        </w:rPr>
        <w:t>24人，其中：</w:t>
      </w:r>
      <w:r>
        <w:rPr>
          <w:rFonts w:hint="eastAsia" w:ascii="仿宋_GB2312" w:eastAsia="仿宋_GB2312"/>
          <w:b w:val="0"/>
          <w:bCs w:val="0"/>
          <w:sz w:val="32"/>
          <w:szCs w:val="32"/>
        </w:rPr>
        <w:t>行政编制</w:t>
      </w:r>
      <w:r>
        <w:rPr>
          <w:rFonts w:hint="eastAsia" w:ascii="仿宋_GB2312" w:eastAsia="仿宋_GB2312"/>
          <w:b w:val="0"/>
          <w:bCs w:val="0"/>
          <w:sz w:val="32"/>
          <w:szCs w:val="32"/>
          <w:lang w:val="en-US" w:eastAsia="zh-CN"/>
        </w:rPr>
        <w:t>12</w:t>
      </w:r>
      <w:r>
        <w:rPr>
          <w:rFonts w:hint="eastAsia" w:ascii="仿宋_GB2312" w:eastAsia="仿宋_GB2312"/>
          <w:b w:val="0"/>
          <w:bCs w:val="0"/>
          <w:sz w:val="32"/>
          <w:szCs w:val="32"/>
          <w:lang w:eastAsia="zh-CN"/>
        </w:rPr>
        <w:t>人</w:t>
      </w:r>
      <w:r>
        <w:rPr>
          <w:rFonts w:hint="eastAsia" w:ascii="仿宋_GB2312" w:eastAsia="仿宋_GB2312"/>
          <w:b w:val="0"/>
          <w:bCs w:val="0"/>
          <w:sz w:val="32"/>
          <w:szCs w:val="32"/>
        </w:rPr>
        <w:t>、</w:t>
      </w:r>
      <w:r>
        <w:rPr>
          <w:rFonts w:hint="eastAsia" w:ascii="仿宋_GB2312" w:eastAsia="仿宋_GB2312"/>
          <w:b w:val="0"/>
          <w:bCs w:val="0"/>
          <w:sz w:val="32"/>
          <w:szCs w:val="32"/>
          <w:lang w:eastAsia="zh-CN"/>
        </w:rPr>
        <w:t>参公事业编制</w:t>
      </w:r>
      <w:r>
        <w:rPr>
          <w:rFonts w:hint="eastAsia" w:ascii="仿宋_GB2312" w:eastAsia="仿宋_GB2312"/>
          <w:b w:val="0"/>
          <w:bCs w:val="0"/>
          <w:sz w:val="32"/>
          <w:szCs w:val="32"/>
          <w:lang w:val="en-US" w:eastAsia="zh-CN"/>
        </w:rPr>
        <w:t>8人，事业编制1人，机关工勤人员事业编制3人。</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eastAsia="仿宋_GB2312"/>
          <w:sz w:val="32"/>
          <w:szCs w:val="32"/>
        </w:rPr>
        <w:t>本单位机构设置分别为</w:t>
      </w:r>
      <w:r>
        <w:rPr>
          <w:rFonts w:hint="eastAsia" w:ascii="仿宋_GB2312" w:eastAsia="仿宋_GB2312"/>
          <w:sz w:val="32"/>
          <w:szCs w:val="32"/>
          <w:lang w:eastAsia="zh-CN"/>
        </w:rPr>
        <w:t>办公室、</w:t>
      </w:r>
      <w:r>
        <w:rPr>
          <w:rFonts w:hint="eastAsia" w:ascii="仿宋_GB2312" w:hAnsi="仿宋_GB2312" w:eastAsia="仿宋_GB2312" w:cs="仿宋_GB2312"/>
          <w:b w:val="0"/>
          <w:bCs w:val="0"/>
          <w:sz w:val="32"/>
          <w:szCs w:val="32"/>
        </w:rPr>
        <w:t>人事科教股（对口支援）</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医政药政和卫生监督股（</w:t>
      </w:r>
      <w:r>
        <w:rPr>
          <w:rFonts w:hint="eastAsia" w:ascii="仿宋_GB2312" w:hAnsi="仿宋_GB2312" w:eastAsia="仿宋_GB2312" w:cs="仿宋_GB2312"/>
          <w:b w:val="0"/>
          <w:bCs w:val="0"/>
          <w:sz w:val="32"/>
          <w:szCs w:val="32"/>
          <w:lang w:eastAsia="zh-CN"/>
        </w:rPr>
        <w:t>医改办、</w:t>
      </w:r>
      <w:r>
        <w:rPr>
          <w:rFonts w:hint="eastAsia" w:ascii="仿宋_GB2312" w:hAnsi="仿宋_GB2312" w:eastAsia="仿宋_GB2312" w:cs="仿宋_GB2312"/>
          <w:b w:val="0"/>
          <w:bCs w:val="0"/>
          <w:sz w:val="32"/>
          <w:szCs w:val="32"/>
        </w:rPr>
        <w:t>中藏医）</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公共卫生和职业病管理股（疾病预防控制、重大传染病防治、基层卫生健康、爱卫办、职业病防治）</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政策法规和行政审批股（人口发展与妇幼健康）</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规划财务和信息统计股（项目、乡村振兴办</w:t>
      </w:r>
      <w:r>
        <w:rPr>
          <w:rFonts w:hint="eastAsia" w:ascii="仿宋_GB2312" w:hAnsi="仿宋_GB2312" w:eastAsia="仿宋_GB2312" w:cs="仿宋_GB2312"/>
          <w:b w:val="0"/>
          <w:bCs w:val="0"/>
          <w:sz w:val="32"/>
          <w:szCs w:val="32"/>
          <w:lang w:eastAsia="zh-CN"/>
        </w:rPr>
        <w:t>、核算中心</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健康服务业发展股（</w:t>
      </w:r>
      <w:r>
        <w:rPr>
          <w:rFonts w:hint="eastAsia" w:ascii="仿宋_GB2312" w:hAnsi="仿宋_GB2312" w:eastAsia="仿宋_GB2312" w:cs="仿宋_GB2312"/>
          <w:b w:val="0"/>
          <w:bCs w:val="0"/>
          <w:sz w:val="32"/>
          <w:szCs w:val="32"/>
          <w:lang w:eastAsia="zh-CN"/>
        </w:rPr>
        <w:t>一老一幼</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卫生健康综合监督执法中队</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机关党委</w:t>
      </w:r>
      <w:r>
        <w:rPr>
          <w:rFonts w:hint="eastAsia" w:ascii="仿宋_GB2312" w:hAnsi="仿宋_GB2312" w:eastAsia="仿宋_GB2312" w:cs="仿宋_GB2312"/>
          <w:b w:val="0"/>
          <w:bCs w:val="0"/>
          <w:sz w:val="32"/>
          <w:szCs w:val="32"/>
          <w:lang w:eastAsia="zh-CN"/>
        </w:rPr>
        <w:t>（党建办）。</w:t>
      </w:r>
    </w:p>
    <w:p>
      <w:pPr>
        <w:pStyle w:val="2"/>
      </w:pP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pPr>
        <w:pStyle w:val="2"/>
        <w:rPr>
          <w:rFonts w:hint="eastAsia" w:eastAsia="仿宋_GB2312"/>
          <w:lang w:eastAsia="zh-CN"/>
        </w:rPr>
      </w:pPr>
      <w:r>
        <w:rPr>
          <w:rFonts w:hint="eastAsia" w:ascii="仿宋_GB2312" w:hAnsi="仿宋" w:eastAsia="仿宋_GB2312" w:cs="仿宋_GB2312"/>
          <w:sz w:val="32"/>
          <w:szCs w:val="32"/>
          <w:lang w:eastAsia="zh-CN"/>
        </w:rPr>
        <w:t>卫健局统筹各个县级医疗机构日常工作，监督各个二级医疗机构日常工作动向，贯彻执行关于卫健工作方针政策及法律法规，推进卫生健康事业发展及规划。</w:t>
      </w:r>
    </w:p>
    <w:p>
      <w:pPr>
        <w:pStyle w:val="2"/>
        <w:numPr>
          <w:ilvl w:val="0"/>
          <w:numId w:val="0"/>
        </w:numPr>
      </w:pPr>
    </w:p>
    <w:p>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人员概况。</w:t>
      </w:r>
    </w:p>
    <w:p>
      <w:pPr>
        <w:pStyle w:val="2"/>
        <w:numPr>
          <w:ilvl w:val="0"/>
          <w:numId w:val="0"/>
        </w:numPr>
        <w:ind w:leftChars="200"/>
      </w:pPr>
      <w:r>
        <w:rPr>
          <w:rFonts w:hint="eastAsia" w:ascii="仿宋_GB2312" w:eastAsia="仿宋_GB2312"/>
          <w:b w:val="0"/>
          <w:bCs w:val="0"/>
          <w:sz w:val="32"/>
          <w:szCs w:val="32"/>
          <w:lang w:eastAsia="zh-CN"/>
        </w:rPr>
        <w:t>总编制</w:t>
      </w:r>
      <w:r>
        <w:rPr>
          <w:rFonts w:hint="eastAsia" w:ascii="仿宋_GB2312" w:eastAsia="仿宋_GB2312"/>
          <w:b w:val="0"/>
          <w:bCs w:val="0"/>
          <w:sz w:val="32"/>
          <w:szCs w:val="32"/>
          <w:lang w:val="en-US" w:eastAsia="zh-CN"/>
        </w:rPr>
        <w:t>24人，其中：</w:t>
      </w:r>
      <w:r>
        <w:rPr>
          <w:rFonts w:hint="eastAsia" w:ascii="仿宋_GB2312" w:eastAsia="仿宋_GB2312"/>
          <w:b w:val="0"/>
          <w:bCs w:val="0"/>
          <w:sz w:val="32"/>
          <w:szCs w:val="32"/>
        </w:rPr>
        <w:t>行政编制</w:t>
      </w:r>
      <w:r>
        <w:rPr>
          <w:rFonts w:hint="eastAsia" w:ascii="仿宋_GB2312" w:eastAsia="仿宋_GB2312"/>
          <w:b w:val="0"/>
          <w:bCs w:val="0"/>
          <w:sz w:val="32"/>
          <w:szCs w:val="32"/>
          <w:lang w:val="en-US" w:eastAsia="zh-CN"/>
        </w:rPr>
        <w:t>12</w:t>
      </w:r>
      <w:r>
        <w:rPr>
          <w:rFonts w:hint="eastAsia" w:ascii="仿宋_GB2312" w:eastAsia="仿宋_GB2312"/>
          <w:b w:val="0"/>
          <w:bCs w:val="0"/>
          <w:sz w:val="32"/>
          <w:szCs w:val="32"/>
          <w:lang w:eastAsia="zh-CN"/>
        </w:rPr>
        <w:t>人</w:t>
      </w:r>
      <w:r>
        <w:rPr>
          <w:rFonts w:hint="eastAsia" w:ascii="仿宋_GB2312" w:eastAsia="仿宋_GB2312"/>
          <w:b w:val="0"/>
          <w:bCs w:val="0"/>
          <w:sz w:val="32"/>
          <w:szCs w:val="32"/>
        </w:rPr>
        <w:t>、</w:t>
      </w:r>
      <w:r>
        <w:rPr>
          <w:rFonts w:hint="eastAsia" w:ascii="仿宋_GB2312" w:eastAsia="仿宋_GB2312"/>
          <w:b w:val="0"/>
          <w:bCs w:val="0"/>
          <w:sz w:val="32"/>
          <w:szCs w:val="32"/>
          <w:lang w:eastAsia="zh-CN"/>
        </w:rPr>
        <w:t>参公事业编制</w:t>
      </w:r>
      <w:r>
        <w:rPr>
          <w:rFonts w:hint="eastAsia" w:ascii="仿宋_GB2312" w:eastAsia="仿宋_GB2312"/>
          <w:b w:val="0"/>
          <w:bCs w:val="0"/>
          <w:sz w:val="32"/>
          <w:szCs w:val="32"/>
          <w:lang w:val="en-US" w:eastAsia="zh-CN"/>
        </w:rPr>
        <w:t>8人，事业编制1人，机关工勤人员事业编制3人。</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pPr>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全年预算数</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eastAsia="zh-CN"/>
        </w:rPr>
        <w:t>年初</w:t>
      </w:r>
      <w:r>
        <w:rPr>
          <w:rFonts w:hint="eastAsia" w:ascii="仿宋_GB2312" w:hAnsi="仿宋_GB2312" w:eastAsia="仿宋_GB2312" w:cs="仿宋_GB2312"/>
          <w:sz w:val="32"/>
          <w:szCs w:val="32"/>
        </w:rPr>
        <w:t>预算</w:t>
      </w:r>
      <w:r>
        <w:rPr>
          <w:rFonts w:hint="eastAsia" w:ascii="仿宋_GB2312" w:hAnsi="仿宋_GB2312" w:eastAsia="仿宋_GB2312" w:cs="仿宋_GB2312"/>
          <w:sz w:val="32"/>
          <w:szCs w:val="32"/>
          <w:lang w:eastAsia="zh-CN"/>
        </w:rPr>
        <w:t>数</w:t>
      </w:r>
      <w:r>
        <w:rPr>
          <w:rFonts w:hint="eastAsia" w:ascii="仿宋_GB2312" w:hAnsi="仿宋_GB2312" w:eastAsia="仿宋_GB2312" w:cs="仿宋_GB2312"/>
          <w:sz w:val="32"/>
          <w:szCs w:val="32"/>
        </w:rPr>
        <w:t>对比分析：本单位2</w:t>
      </w:r>
      <w:r>
        <w:rPr>
          <w:rFonts w:hint="eastAsia" w:ascii="仿宋_GB2312" w:hAnsi="仿宋_GB2312" w:eastAsia="仿宋_GB2312" w:cs="仿宋_GB2312"/>
          <w:sz w:val="32"/>
          <w:szCs w:val="32"/>
          <w:lang w:val="en-US" w:eastAsia="zh-CN"/>
        </w:rPr>
        <w:t>024</w:t>
      </w:r>
      <w:r>
        <w:rPr>
          <w:rFonts w:hint="eastAsia" w:ascii="仿宋_GB2312" w:hAnsi="仿宋_GB2312" w:eastAsia="仿宋_GB2312" w:cs="仿宋_GB2312"/>
          <w:sz w:val="32"/>
          <w:szCs w:val="32"/>
        </w:rPr>
        <w:t>年年初预算</w:t>
      </w:r>
      <w:r>
        <w:rPr>
          <w:rFonts w:hint="eastAsia" w:ascii="仿宋_GB2312" w:hAnsi="仿宋_GB2312" w:eastAsia="仿宋_GB2312" w:cs="仿宋_GB2312"/>
          <w:sz w:val="32"/>
          <w:szCs w:val="32"/>
          <w:lang w:eastAsia="zh-CN"/>
        </w:rPr>
        <w:t>数</w:t>
      </w:r>
      <w:r>
        <w:rPr>
          <w:rFonts w:hint="eastAsia" w:ascii="仿宋_GB2312" w:hAnsi="仿宋_GB2312" w:eastAsia="仿宋_GB2312" w:cs="仿宋_GB2312"/>
          <w:sz w:val="32"/>
          <w:szCs w:val="32"/>
          <w:lang w:val="en-US" w:eastAsia="zh-CN"/>
        </w:rPr>
        <w:t>826.09万</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全年预算数</w:t>
      </w:r>
      <w:r>
        <w:rPr>
          <w:rFonts w:hint="eastAsia" w:ascii="仿宋_GB2312" w:hAnsi="仿宋_GB2312" w:eastAsia="仿宋_GB2312" w:cs="仿宋_GB2312"/>
          <w:sz w:val="32"/>
          <w:szCs w:val="32"/>
          <w:lang w:val="en-US" w:eastAsia="zh-CN"/>
        </w:rPr>
        <w:t>3451.42万</w:t>
      </w:r>
      <w:r>
        <w:rPr>
          <w:rFonts w:hint="eastAsia" w:ascii="仿宋_GB2312" w:hAnsi="仿宋_GB2312" w:eastAsia="仿宋_GB2312" w:cs="仿宋_GB2312"/>
          <w:sz w:val="32"/>
          <w:szCs w:val="32"/>
        </w:rPr>
        <w:t>元，本年</w:t>
      </w:r>
      <w:r>
        <w:rPr>
          <w:rFonts w:hint="eastAsia" w:ascii="仿宋_GB2312" w:hAnsi="仿宋_GB2312" w:eastAsia="仿宋_GB2312" w:cs="仿宋_GB2312"/>
          <w:sz w:val="32"/>
          <w:szCs w:val="32"/>
          <w:lang w:eastAsia="zh-CN"/>
        </w:rPr>
        <w:t>全年预算数</w:t>
      </w:r>
      <w:r>
        <w:rPr>
          <w:rFonts w:hint="eastAsia" w:ascii="仿宋_GB2312" w:hAnsi="仿宋_GB2312" w:eastAsia="仿宋_GB2312" w:cs="仿宋_GB2312"/>
          <w:sz w:val="32"/>
          <w:szCs w:val="32"/>
        </w:rPr>
        <w:t>与年初预算增加</w:t>
      </w:r>
      <w:r>
        <w:rPr>
          <w:rFonts w:hint="eastAsia" w:ascii="仿宋_GB2312" w:hAnsi="仿宋_GB2312" w:eastAsia="仿宋_GB2312" w:cs="仿宋_GB2312"/>
          <w:sz w:val="32"/>
          <w:szCs w:val="32"/>
          <w:lang w:val="en-US" w:eastAsia="zh-CN"/>
        </w:rPr>
        <w:t>2625.33万</w:t>
      </w:r>
      <w:r>
        <w:rPr>
          <w:rFonts w:hint="eastAsia" w:ascii="仿宋_GB2312" w:hAnsi="仿宋_GB2312" w:eastAsia="仿宋_GB2312" w:cs="仿宋_GB2312"/>
          <w:sz w:val="32"/>
          <w:szCs w:val="32"/>
        </w:rPr>
        <w:t>元，差异率</w:t>
      </w:r>
      <w:r>
        <w:rPr>
          <w:rFonts w:hint="eastAsia" w:ascii="仿宋_GB2312" w:hAnsi="仿宋_GB2312" w:eastAsia="仿宋_GB2312" w:cs="仿宋_GB2312"/>
          <w:sz w:val="32"/>
          <w:szCs w:val="32"/>
          <w:lang w:val="en-US" w:eastAsia="zh-CN"/>
        </w:rPr>
        <w:t>76.06</w:t>
      </w:r>
      <w:r>
        <w:rPr>
          <w:rFonts w:hint="eastAsia" w:ascii="仿宋_GB2312" w:hAnsi="仿宋_GB2312" w:eastAsia="仿宋_GB2312" w:cs="仿宋_GB2312"/>
          <w:sz w:val="32"/>
          <w:szCs w:val="32"/>
        </w:rPr>
        <w:t>%。差异主要原因</w:t>
      </w: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sz w:val="32"/>
          <w:szCs w:val="32"/>
        </w:rPr>
        <w:t>一是</w:t>
      </w:r>
      <w:r>
        <w:rPr>
          <w:rFonts w:hint="eastAsia" w:ascii="仿宋_GB2312" w:hAnsi="仿宋_GB2312" w:eastAsia="仿宋_GB2312" w:cs="仿宋_GB2312"/>
          <w:sz w:val="32"/>
          <w:szCs w:val="32"/>
          <w:lang w:eastAsia="zh-CN"/>
        </w:rPr>
        <w:t>上级专款未算入年初预算数；</w:t>
      </w:r>
      <w:r>
        <w:rPr>
          <w:rFonts w:hint="eastAsia" w:ascii="仿宋_GB2312" w:hAnsi="仿宋_GB2312" w:eastAsia="仿宋_GB2312" w:cs="仿宋_GB2312"/>
          <w:color w:val="auto"/>
          <w:sz w:val="32"/>
          <w:szCs w:val="32"/>
          <w:lang w:eastAsia="zh-CN"/>
        </w:rPr>
        <w:t>二是有上年结转结余资金。</w:t>
      </w:r>
    </w:p>
    <w:p>
      <w:pPr>
        <w:pStyle w:val="2"/>
      </w:pPr>
    </w:p>
    <w:p>
      <w:pPr>
        <w:numPr>
          <w:ilvl w:val="0"/>
          <w:numId w:val="2"/>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部门财政资金支出情况。</w:t>
      </w:r>
    </w:p>
    <w:p>
      <w:pPr>
        <w:pageBreakBefore w:val="0"/>
        <w:widowControl w:val="0"/>
        <w:numPr>
          <w:ilvl w:val="0"/>
          <w:numId w:val="3"/>
        </w:numPr>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支出与</w:t>
      </w:r>
      <w:r>
        <w:rPr>
          <w:rFonts w:hint="eastAsia" w:ascii="仿宋_GB2312" w:hAnsi="仿宋_GB2312" w:eastAsia="仿宋_GB2312" w:cs="仿宋_GB2312"/>
          <w:sz w:val="32"/>
          <w:szCs w:val="32"/>
          <w:lang w:eastAsia="zh-CN"/>
        </w:rPr>
        <w:t>收入</w:t>
      </w:r>
      <w:r>
        <w:rPr>
          <w:rFonts w:hint="eastAsia" w:ascii="仿宋_GB2312" w:hAnsi="仿宋_GB2312" w:eastAsia="仿宋_GB2312" w:cs="仿宋_GB2312"/>
          <w:sz w:val="32"/>
          <w:szCs w:val="32"/>
        </w:rPr>
        <w:t>对比分析：本年</w:t>
      </w:r>
      <w:r>
        <w:rPr>
          <w:rFonts w:hint="eastAsia" w:ascii="仿宋_GB2312" w:hAnsi="仿宋_GB2312" w:eastAsia="仿宋_GB2312" w:cs="仿宋_GB2312"/>
          <w:sz w:val="32"/>
          <w:szCs w:val="32"/>
          <w:lang w:eastAsia="zh-CN"/>
        </w:rPr>
        <w:t>全年</w:t>
      </w:r>
      <w:r>
        <w:rPr>
          <w:rFonts w:hint="eastAsia" w:ascii="仿宋_GB2312" w:hAnsi="仿宋_GB2312" w:eastAsia="仿宋_GB2312" w:cs="仿宋_GB2312"/>
          <w:sz w:val="32"/>
          <w:szCs w:val="32"/>
        </w:rPr>
        <w:t>预算支出</w:t>
      </w:r>
      <w:r>
        <w:rPr>
          <w:rFonts w:hint="eastAsia" w:ascii="仿宋_GB2312" w:hAnsi="仿宋_GB2312" w:eastAsia="仿宋_GB2312" w:cs="仿宋_GB2312"/>
          <w:sz w:val="32"/>
          <w:szCs w:val="32"/>
          <w:lang w:val="en-US" w:eastAsia="zh-CN"/>
        </w:rPr>
        <w:t>3451.42万</w:t>
      </w:r>
      <w:r>
        <w:rPr>
          <w:rFonts w:hint="eastAsia" w:ascii="仿宋_GB2312" w:hAnsi="仿宋_GB2312" w:eastAsia="仿宋_GB2312" w:cs="仿宋_GB2312"/>
          <w:sz w:val="32"/>
          <w:szCs w:val="32"/>
        </w:rPr>
        <w:t>元，本年决算数支出</w:t>
      </w:r>
      <w:r>
        <w:rPr>
          <w:rFonts w:hint="eastAsia" w:ascii="仿宋_GB2312" w:hAnsi="仿宋_GB2312" w:eastAsia="仿宋_GB2312" w:cs="仿宋_GB2312"/>
          <w:sz w:val="32"/>
          <w:szCs w:val="32"/>
          <w:lang w:val="en-US" w:eastAsia="zh-CN"/>
        </w:rPr>
        <w:t>3451.42万</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p>
    <w:p>
      <w:pPr>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2．本年支出与上年支出的对比分析: 本年度实际支出</w:t>
      </w:r>
      <w:r>
        <w:rPr>
          <w:rFonts w:hint="eastAsia" w:ascii="仿宋_GB2312" w:hAnsi="仿宋_GB2312" w:eastAsia="仿宋_GB2312" w:cs="仿宋_GB2312"/>
          <w:sz w:val="32"/>
          <w:szCs w:val="32"/>
          <w:lang w:val="en-US" w:eastAsia="zh-CN"/>
        </w:rPr>
        <w:t>3451.42万</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2023年实际支出4147.98万元。2024年</w:t>
      </w:r>
      <w:r>
        <w:rPr>
          <w:rFonts w:hint="eastAsia" w:ascii="仿宋_GB2312" w:hAnsi="仿宋_GB2312" w:eastAsia="仿宋_GB2312" w:cs="仿宋_GB2312"/>
          <w:sz w:val="32"/>
          <w:szCs w:val="32"/>
        </w:rPr>
        <w:t>比</w:t>
      </w:r>
      <w:r>
        <w:rPr>
          <w:rFonts w:hint="eastAsia" w:ascii="仿宋_GB2312" w:hAnsi="仿宋_GB2312" w:eastAsia="仿宋_GB2312" w:cs="仿宋_GB2312"/>
          <w:sz w:val="32"/>
          <w:szCs w:val="32"/>
          <w:lang w:val="en-US" w:eastAsia="zh-CN"/>
        </w:rPr>
        <w:t>2023年</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696.56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减少幅度</w:t>
      </w:r>
      <w:r>
        <w:rPr>
          <w:rFonts w:hint="eastAsia" w:ascii="仿宋_GB2312" w:hAnsi="仿宋_GB2312" w:eastAsia="仿宋_GB2312" w:cs="仿宋_GB2312"/>
          <w:sz w:val="32"/>
          <w:szCs w:val="32"/>
          <w:lang w:val="en-US" w:eastAsia="zh-CN"/>
        </w:rPr>
        <w:t>16.79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pPr>
        <w:pStyle w:val="2"/>
        <w:numPr>
          <w:ilvl w:val="0"/>
          <w:numId w:val="0"/>
        </w:numPr>
        <w:ind w:firstLine="640" w:firstLineChars="200"/>
      </w:pPr>
      <w:r>
        <w:rPr>
          <w:rFonts w:hint="eastAsia" w:ascii="仿宋_GB2312" w:hAnsi="仿宋_GB2312" w:eastAsia="仿宋_GB2312" w:cs="仿宋_GB2312"/>
          <w:color w:val="auto"/>
          <w:sz w:val="32"/>
          <w:szCs w:val="32"/>
        </w:rPr>
        <w:t>3.本年支出结构分析:本年</w:t>
      </w:r>
      <w:r>
        <w:rPr>
          <w:rFonts w:hint="eastAsia" w:ascii="仿宋_GB2312" w:hAnsi="仿宋_GB2312" w:eastAsia="仿宋_GB2312" w:cs="仿宋_GB2312"/>
          <w:color w:val="auto"/>
          <w:sz w:val="32"/>
          <w:szCs w:val="32"/>
          <w:lang w:eastAsia="zh-CN"/>
        </w:rPr>
        <w:t>全年实际</w:t>
      </w:r>
      <w:r>
        <w:rPr>
          <w:rFonts w:hint="eastAsia" w:ascii="仿宋_GB2312" w:hAnsi="仿宋_GB2312" w:eastAsia="仿宋_GB2312" w:cs="仿宋_GB2312"/>
          <w:color w:val="auto"/>
          <w:sz w:val="32"/>
          <w:szCs w:val="32"/>
        </w:rPr>
        <w:t>支出</w:t>
      </w:r>
      <w:r>
        <w:rPr>
          <w:rFonts w:hint="eastAsia" w:ascii="仿宋_GB2312" w:hAnsi="仿宋_GB2312" w:eastAsia="仿宋_GB2312" w:cs="仿宋_GB2312"/>
          <w:color w:val="auto"/>
          <w:sz w:val="32"/>
          <w:szCs w:val="32"/>
          <w:lang w:val="en-US" w:eastAsia="zh-CN"/>
        </w:rPr>
        <w:t>3451.42万</w:t>
      </w:r>
      <w:r>
        <w:rPr>
          <w:rFonts w:hint="eastAsia" w:ascii="仿宋_GB2312" w:hAnsi="仿宋_GB2312" w:eastAsia="仿宋_GB2312" w:cs="仿宋_GB2312"/>
          <w:color w:val="auto"/>
          <w:sz w:val="32"/>
          <w:szCs w:val="32"/>
        </w:rPr>
        <w:t>元，按资金来源分析：其中财政拨款支出</w:t>
      </w:r>
      <w:r>
        <w:rPr>
          <w:rFonts w:hint="eastAsia" w:ascii="仿宋_GB2312" w:hAnsi="仿宋_GB2312" w:eastAsia="仿宋_GB2312" w:cs="仿宋_GB2312"/>
          <w:color w:val="auto"/>
          <w:sz w:val="32"/>
          <w:szCs w:val="32"/>
          <w:lang w:val="en-US" w:eastAsia="zh-CN"/>
        </w:rPr>
        <w:t>6451.42</w:t>
      </w:r>
      <w:r>
        <w:rPr>
          <w:rFonts w:hint="eastAsia" w:ascii="仿宋_GB2312" w:hAnsi="仿宋_GB2312" w:eastAsia="仿宋_GB2312" w:cs="仿宋_GB2312"/>
          <w:color w:val="auto"/>
          <w:sz w:val="32"/>
          <w:szCs w:val="32"/>
        </w:rPr>
        <w:t>万元，占本年总支出的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按支出性质分析：基本支出</w:t>
      </w:r>
      <w:r>
        <w:rPr>
          <w:rFonts w:hint="eastAsia" w:ascii="仿宋_GB2312" w:hAnsi="仿宋_GB2312" w:eastAsia="仿宋_GB2312" w:cs="仿宋_GB2312"/>
          <w:color w:val="auto"/>
          <w:sz w:val="32"/>
          <w:szCs w:val="32"/>
          <w:lang w:val="en-US" w:eastAsia="zh-CN"/>
        </w:rPr>
        <w:t>741.52万</w:t>
      </w:r>
      <w:r>
        <w:rPr>
          <w:rFonts w:hint="eastAsia" w:ascii="仿宋_GB2312" w:hAnsi="仿宋_GB2312" w:eastAsia="仿宋_GB2312" w:cs="仿宋_GB2312"/>
          <w:color w:val="auto"/>
          <w:sz w:val="32"/>
          <w:szCs w:val="32"/>
        </w:rPr>
        <w:t>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占本年总支出</w:t>
      </w:r>
      <w:r>
        <w:rPr>
          <w:rFonts w:hint="eastAsia" w:ascii="仿宋_GB2312" w:hAnsi="仿宋_GB2312" w:eastAsia="仿宋_GB2312" w:cs="仿宋_GB2312"/>
          <w:color w:val="auto"/>
          <w:sz w:val="32"/>
          <w:szCs w:val="32"/>
          <w:lang w:val="en-US" w:eastAsia="zh-CN"/>
        </w:rPr>
        <w:t>21.48</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项目支出</w:t>
      </w:r>
      <w:r>
        <w:rPr>
          <w:rFonts w:hint="eastAsia" w:ascii="仿宋_GB2312" w:hAnsi="仿宋_GB2312" w:eastAsia="仿宋_GB2312" w:cs="仿宋_GB2312"/>
          <w:color w:val="auto"/>
          <w:sz w:val="32"/>
          <w:szCs w:val="32"/>
          <w:lang w:val="en-US" w:eastAsia="zh-CN"/>
        </w:rPr>
        <w:t>2709.9万</w:t>
      </w:r>
      <w:r>
        <w:rPr>
          <w:rFonts w:hint="eastAsia" w:ascii="仿宋_GB2312" w:hAnsi="仿宋_GB2312" w:eastAsia="仿宋_GB2312" w:cs="仿宋_GB2312"/>
          <w:color w:val="auto"/>
          <w:sz w:val="32"/>
          <w:szCs w:val="32"/>
        </w:rPr>
        <w:t>元,占本年总支出的</w:t>
      </w:r>
      <w:r>
        <w:rPr>
          <w:rFonts w:hint="eastAsia" w:ascii="仿宋_GB2312" w:hAnsi="仿宋_GB2312" w:eastAsia="仿宋_GB2312" w:cs="仿宋_GB2312"/>
          <w:color w:val="auto"/>
          <w:sz w:val="32"/>
          <w:szCs w:val="32"/>
          <w:lang w:val="en-US" w:eastAsia="zh-CN"/>
        </w:rPr>
        <w:t>78.51</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按支出经济分类：工资福利支出</w:t>
      </w:r>
      <w:r>
        <w:rPr>
          <w:rFonts w:hint="eastAsia" w:ascii="仿宋_GB2312" w:hAnsi="仿宋_GB2312" w:eastAsia="仿宋_GB2312" w:cs="仿宋_GB2312"/>
          <w:color w:val="auto"/>
          <w:sz w:val="32"/>
          <w:szCs w:val="32"/>
          <w:lang w:val="en-US" w:eastAsia="zh-CN"/>
        </w:rPr>
        <w:t>712.55万</w:t>
      </w:r>
      <w:r>
        <w:rPr>
          <w:rFonts w:hint="eastAsia" w:ascii="仿宋_GB2312" w:hAnsi="仿宋_GB2312" w:eastAsia="仿宋_GB2312" w:cs="仿宋_GB2312"/>
          <w:color w:val="auto"/>
          <w:sz w:val="32"/>
          <w:szCs w:val="32"/>
        </w:rPr>
        <w:t>元，占本年支出</w:t>
      </w:r>
      <w:r>
        <w:rPr>
          <w:rFonts w:hint="eastAsia" w:ascii="仿宋_GB2312" w:hAnsi="仿宋_GB2312" w:eastAsia="仿宋_GB2312" w:cs="仿宋_GB2312"/>
          <w:color w:val="auto"/>
          <w:sz w:val="32"/>
          <w:szCs w:val="32"/>
          <w:lang w:val="en-US" w:eastAsia="zh-CN"/>
        </w:rPr>
        <w:t>20.64</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商品和服务支出</w:t>
      </w:r>
      <w:r>
        <w:rPr>
          <w:rFonts w:hint="eastAsia" w:ascii="仿宋_GB2312" w:hAnsi="仿宋_GB2312" w:eastAsia="仿宋_GB2312" w:cs="仿宋_GB2312"/>
          <w:color w:val="auto"/>
          <w:sz w:val="32"/>
          <w:szCs w:val="32"/>
          <w:lang w:val="en-US" w:eastAsia="zh-CN"/>
        </w:rPr>
        <w:t>130.18万</w:t>
      </w:r>
      <w:r>
        <w:rPr>
          <w:rFonts w:hint="eastAsia" w:ascii="仿宋_GB2312" w:hAnsi="仿宋_GB2312" w:eastAsia="仿宋_GB2312" w:cs="仿宋_GB2312"/>
          <w:color w:val="auto"/>
          <w:sz w:val="32"/>
          <w:szCs w:val="32"/>
        </w:rPr>
        <w:t>元，占本年支出</w:t>
      </w:r>
      <w:r>
        <w:rPr>
          <w:rFonts w:hint="eastAsia" w:ascii="仿宋_GB2312" w:hAnsi="仿宋_GB2312" w:eastAsia="仿宋_GB2312" w:cs="仿宋_GB2312"/>
          <w:color w:val="auto"/>
          <w:sz w:val="32"/>
          <w:szCs w:val="32"/>
          <w:lang w:val="en-US" w:eastAsia="zh-CN"/>
        </w:rPr>
        <w:t>3.77</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对个人和家庭的补助</w:t>
      </w:r>
      <w:r>
        <w:rPr>
          <w:rFonts w:hint="eastAsia" w:ascii="仿宋_GB2312" w:hAnsi="仿宋_GB2312" w:eastAsia="仿宋_GB2312" w:cs="仿宋_GB2312"/>
          <w:color w:val="auto"/>
          <w:sz w:val="32"/>
          <w:szCs w:val="32"/>
          <w:lang w:val="en-US" w:eastAsia="zh-CN"/>
        </w:rPr>
        <w:t>1397.53万</w:t>
      </w:r>
      <w:r>
        <w:rPr>
          <w:rFonts w:hint="eastAsia" w:ascii="仿宋_GB2312" w:hAnsi="仿宋_GB2312" w:eastAsia="仿宋_GB2312" w:cs="仿宋_GB2312"/>
          <w:color w:val="auto"/>
          <w:sz w:val="32"/>
          <w:szCs w:val="32"/>
        </w:rPr>
        <w:t>元，占本年支</w:t>
      </w:r>
      <w:r>
        <w:rPr>
          <w:rFonts w:hint="eastAsia" w:ascii="仿宋_GB2312" w:hAnsi="仿宋_GB2312" w:eastAsia="仿宋_GB2312" w:cs="仿宋_GB2312"/>
          <w:color w:val="auto"/>
          <w:sz w:val="32"/>
          <w:szCs w:val="32"/>
          <w:lang w:eastAsia="zh-CN"/>
        </w:rPr>
        <w:t>出</w:t>
      </w:r>
      <w:bookmarkStart w:id="0" w:name="_GoBack"/>
      <w:bookmarkEnd w:id="0"/>
      <w:r>
        <w:rPr>
          <w:rFonts w:hint="eastAsia" w:ascii="仿宋_GB2312" w:hAnsi="仿宋_GB2312" w:eastAsia="仿宋_GB2312" w:cs="仿宋_GB2312"/>
          <w:color w:val="auto"/>
          <w:sz w:val="32"/>
          <w:szCs w:val="32"/>
          <w:lang w:val="en-US" w:eastAsia="zh-CN"/>
        </w:rPr>
        <w:t>40.49</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；资本性支出</w:t>
      </w:r>
      <w:r>
        <w:rPr>
          <w:rFonts w:hint="eastAsia" w:ascii="仿宋_GB2312" w:hAnsi="仿宋_GB2312" w:eastAsia="仿宋_GB2312" w:cs="仿宋_GB2312"/>
          <w:color w:val="auto"/>
          <w:sz w:val="32"/>
          <w:szCs w:val="32"/>
          <w:lang w:val="en-US" w:eastAsia="zh-CN"/>
        </w:rPr>
        <w:t>296.38万元，</w:t>
      </w:r>
      <w:r>
        <w:rPr>
          <w:rFonts w:hint="eastAsia" w:ascii="仿宋_GB2312" w:hAnsi="仿宋_GB2312" w:eastAsia="仿宋_GB2312" w:cs="仿宋_GB2312"/>
          <w:color w:val="auto"/>
          <w:sz w:val="32"/>
          <w:szCs w:val="32"/>
        </w:rPr>
        <w:t>占本年支</w:t>
      </w:r>
      <w:r>
        <w:rPr>
          <w:rFonts w:hint="eastAsia" w:ascii="仿宋_GB2312" w:hAnsi="仿宋_GB2312" w:eastAsia="仿宋_GB2312" w:cs="仿宋_GB2312"/>
          <w:color w:val="auto"/>
          <w:sz w:val="32"/>
          <w:szCs w:val="32"/>
          <w:lang w:eastAsia="zh-CN"/>
        </w:rPr>
        <w:t>出</w:t>
      </w:r>
      <w:r>
        <w:rPr>
          <w:rFonts w:hint="eastAsia" w:ascii="仿宋_GB2312" w:hAnsi="仿宋_GB2312" w:eastAsia="仿宋_GB2312" w:cs="仿宋_GB2312"/>
          <w:color w:val="auto"/>
          <w:sz w:val="32"/>
          <w:szCs w:val="32"/>
          <w:lang w:val="en-US" w:eastAsia="zh-CN"/>
        </w:rPr>
        <w:t>8.58</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三、部门整体预算绩效管理情况（根据适用指标体系进行调整）</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部门预算在财政部门批复后及时填报预算公示报表报财政审核在政府信息公开网上公示。</w:t>
      </w:r>
    </w:p>
    <w:p>
      <w:pPr>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预算支出在保障本局工作运转、</w:t>
      </w:r>
      <w:r>
        <w:rPr>
          <w:rFonts w:hint="eastAsia" w:ascii="仿宋_GB2312" w:hAnsi="仿宋_GB2312" w:eastAsia="仿宋_GB2312" w:cs="仿宋_GB2312"/>
          <w:sz w:val="32"/>
          <w:szCs w:val="32"/>
          <w:lang w:eastAsia="zh-CN"/>
        </w:rPr>
        <w:t>严格按资金要求执行资金进度，</w:t>
      </w:r>
      <w:r>
        <w:rPr>
          <w:rFonts w:hint="eastAsia" w:ascii="仿宋_GB2312" w:hAnsi="仿宋_GB2312" w:eastAsia="仿宋_GB2312" w:cs="仿宋_GB2312"/>
          <w:sz w:val="32"/>
          <w:szCs w:val="32"/>
        </w:rPr>
        <w:t>履行职能职责上整体情况良好</w:t>
      </w:r>
      <w:r>
        <w:rPr>
          <w:rFonts w:hint="eastAsia" w:ascii="仿宋_GB2312" w:hAnsi="仿宋_GB2312" w:eastAsia="仿宋_GB2312" w:cs="仿宋_GB2312"/>
          <w:sz w:val="32"/>
          <w:szCs w:val="32"/>
          <w:lang w:eastAsia="zh-CN"/>
        </w:rPr>
        <w:t>，无违规记录情况。</w:t>
      </w:r>
    </w:p>
    <w:p>
      <w:pPr>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严格执行“厉行节约、反对浪费”的规定，严格控制“三公”经费支出，加强公务用车管理，努力降低燃修费用，</w:t>
      </w:r>
      <w:r>
        <w:rPr>
          <w:rFonts w:hint="eastAsia" w:ascii="仿宋_GB2312" w:hAnsi="仿宋_GB2312" w:eastAsia="仿宋_GB2312" w:cs="仿宋_GB2312"/>
          <w:sz w:val="32"/>
          <w:szCs w:val="32"/>
          <w:lang w:eastAsia="zh-CN"/>
        </w:rPr>
        <w:t>无</w:t>
      </w:r>
      <w:r>
        <w:rPr>
          <w:rFonts w:hint="eastAsia" w:ascii="仿宋_GB2312" w:hAnsi="仿宋_GB2312" w:eastAsia="仿宋_GB2312" w:cs="仿宋_GB2312"/>
          <w:sz w:val="32"/>
          <w:szCs w:val="32"/>
        </w:rPr>
        <w:t>违规记录等</w:t>
      </w:r>
      <w:r>
        <w:rPr>
          <w:rFonts w:hint="eastAsia" w:ascii="仿宋_GB2312" w:hAnsi="仿宋_GB2312" w:eastAsia="仿宋_GB2312" w:cs="仿宋_GB2312"/>
          <w:sz w:val="32"/>
          <w:szCs w:val="32"/>
          <w:lang w:eastAsia="zh-CN"/>
        </w:rPr>
        <w:t>情况。</w:t>
      </w:r>
    </w:p>
    <w:p>
      <w:pPr>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w:t>
      </w:r>
      <w:r>
        <w:rPr>
          <w:rFonts w:hint="eastAsia" w:ascii="楷体_GB2312" w:hAnsi="楷体_GB2312" w:eastAsia="楷体_GB2312" w:cs="楷体_GB2312"/>
          <w:color w:val="auto"/>
          <w:sz w:val="32"/>
          <w:szCs w:val="32"/>
          <w:lang w:eastAsia="zh-CN"/>
        </w:rPr>
        <w:t>二</w:t>
      </w:r>
      <w:r>
        <w:rPr>
          <w:rFonts w:hint="eastAsia" w:ascii="楷体_GB2312" w:hAnsi="楷体_GB2312" w:eastAsia="楷体_GB2312" w:cs="楷体_GB2312"/>
          <w:color w:val="auto"/>
          <w:sz w:val="32"/>
          <w:szCs w:val="32"/>
        </w:rPr>
        <w:t>)结果应用情况</w:t>
      </w:r>
    </w:p>
    <w:p>
      <w:pPr>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i w:val="0"/>
          <w:caps w:val="0"/>
          <w:color w:val="000000"/>
          <w:spacing w:val="0"/>
          <w:kern w:val="2"/>
          <w:sz w:val="32"/>
          <w:szCs w:val="32"/>
          <w:shd w:val="clear" w:color="auto" w:fill="FFFFFF"/>
          <w:lang w:val="en-US" w:eastAsia="zh-CN" w:bidi="ar-SA"/>
        </w:rPr>
      </w:pPr>
      <w:r>
        <w:rPr>
          <w:rFonts w:hint="eastAsia" w:ascii="仿宋_GB2312" w:hAnsi="仿宋_GB2312" w:eastAsia="仿宋_GB2312" w:cs="仿宋_GB2312"/>
          <w:b w:val="0"/>
          <w:bCs w:val="0"/>
          <w:i w:val="0"/>
          <w:caps w:val="0"/>
          <w:color w:val="000000"/>
          <w:spacing w:val="0"/>
          <w:kern w:val="2"/>
          <w:sz w:val="32"/>
          <w:szCs w:val="32"/>
          <w:shd w:val="clear" w:color="auto" w:fill="FFFFFF"/>
          <w:lang w:val="en-US" w:eastAsia="zh-CN" w:bidi="ar-SA"/>
        </w:rPr>
        <w:t>从政府绩效评价的层面来看,绩效评价是一个动态连续的过程.包括评价准备阶段,组织实施阶段和评鉴结果的管理阶段等一系列环节。结合本单位当年全部预算收入、财政拨款收入及支出等,对全口径的资金收入、支出和预算管理、资产管理等工作进行的全面总结，通过编制部门决算报表,对本单位全年的资金管理、单位履行机构职能和受托责任等进行系统的思考检查,分析预算执行中的得失,以推动单位加强内部管理,制定适应本单位的内控制度以促进发展。为编报一份高质量的部门决算报表,还应当从日常工作、前期准备、报表分析等方面做好全过程精细化的财务管理。</w:t>
      </w:r>
    </w:p>
    <w:p>
      <w:pPr>
        <w:numPr>
          <w:ilvl w:val="0"/>
          <w:numId w:val="2"/>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专项预算管理。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本部门的</w:t>
      </w:r>
      <w:r>
        <w:rPr>
          <w:rFonts w:hint="eastAsia" w:ascii="仿宋_GB2312" w:hAnsi="仿宋" w:eastAsia="仿宋_GB2312" w:cs="仿宋_GB2312"/>
          <w:sz w:val="32"/>
          <w:szCs w:val="32"/>
          <w:lang w:eastAsia="zh-CN"/>
        </w:rPr>
        <w:t>专项项目</w:t>
      </w:r>
      <w:r>
        <w:rPr>
          <w:rFonts w:hint="eastAsia" w:ascii="仿宋_GB2312" w:hAnsi="仿宋" w:eastAsia="仿宋_GB2312" w:cs="仿宋_GB2312"/>
          <w:sz w:val="32"/>
          <w:szCs w:val="32"/>
        </w:rPr>
        <w:t>预决算编制均按照县财政局下达的相关文件指标进行了编制，按时完成经、编制工作，决算报表和说明均在黑水县政府门户网站公开。绩效目标也按照有关文件如实进行了填报。专项预算也提前进行了规划和筹划</w:t>
      </w:r>
    </w:p>
    <w:p>
      <w:pPr>
        <w:pStyle w:val="2"/>
        <w:rPr>
          <w:rFonts w:hint="eastAsia"/>
        </w:rPr>
      </w:pPr>
    </w:p>
    <w:p>
      <w:pPr>
        <w:pStyle w:val="2"/>
        <w:numPr>
          <w:ilvl w:val="0"/>
          <w:numId w:val="0"/>
        </w:numPr>
        <w:ind w:leftChars="200"/>
      </w:pPr>
    </w:p>
    <w:p>
      <w:pPr>
        <w:numPr>
          <w:ilvl w:val="0"/>
          <w:numId w:val="2"/>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结果应用情况。</w:t>
      </w:r>
    </w:p>
    <w:p>
      <w:pPr>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i w:val="0"/>
          <w:caps w:val="0"/>
          <w:color w:val="000000"/>
          <w:spacing w:val="0"/>
          <w:kern w:val="2"/>
          <w:sz w:val="32"/>
          <w:szCs w:val="32"/>
          <w:shd w:val="clear" w:color="auto" w:fill="FFFFFF"/>
          <w:lang w:val="en-US" w:eastAsia="zh-CN" w:bidi="ar-SA"/>
        </w:rPr>
      </w:pPr>
      <w:r>
        <w:rPr>
          <w:rFonts w:hint="eastAsia" w:ascii="仿宋_GB2312" w:hAnsi="仿宋_GB2312" w:eastAsia="仿宋_GB2312" w:cs="仿宋_GB2312"/>
          <w:b w:val="0"/>
          <w:bCs w:val="0"/>
          <w:i w:val="0"/>
          <w:caps w:val="0"/>
          <w:color w:val="000000"/>
          <w:spacing w:val="0"/>
          <w:kern w:val="2"/>
          <w:sz w:val="32"/>
          <w:szCs w:val="32"/>
          <w:shd w:val="clear" w:color="auto" w:fill="FFFFFF"/>
          <w:lang w:val="en-US" w:eastAsia="zh-CN" w:bidi="ar-SA"/>
        </w:rPr>
        <w:t>从政府绩效评价的层面来看,绩效评价是一个动态连续的过程.包括评价准备阶段,组织实施阶段和评鉴结果的管理阶段等一系列环节。结合本单位当年全部预算收入、财政拨款收入及支出等,对全口径的资金收入、支出和预算管理、资产管理等工作进行的全面总结，通过编制部门决算报表,对本单位全年的资金管理、单位履行机构职能和受托责任等进行系统的思考检查,分析预算执行中的得失,以推动单位加强内部管理,制定适应本单位的内控制度以促进发展。为编报一份高质量的部门决算报表,还应当从日常工作、前期准备、报表分析等方面做好全过程精细化的财务管理。</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本部门的预决算编制均按照县财政局下达的相关文件指标进行了编制，按时完成经、编制工作，决算报表和说明均在黑水县政府门户网站公开。绩效目标也按照有关文件如实进行了填报。专项预算也提前进行了规划和筹划。</w:t>
      </w:r>
    </w:p>
    <w:p>
      <w:pPr>
        <w:pStyle w:val="2"/>
        <w:rPr>
          <w:rFonts w:hint="eastAsia"/>
        </w:rPr>
      </w:pPr>
    </w:p>
    <w:p>
      <w:pPr>
        <w:numPr>
          <w:ilvl w:val="0"/>
          <w:numId w:val="4"/>
        </w:numPr>
        <w:spacing w:line="580" w:lineRule="exact"/>
        <w:ind w:firstLine="640" w:firstLineChars="200"/>
      </w:pPr>
      <w:r>
        <w:rPr>
          <w:rFonts w:hint="eastAsia" w:ascii="仿宋_GB2312" w:hAnsi="黑体" w:eastAsia="仿宋_GB2312" w:cs="黑体"/>
          <w:sz w:val="32"/>
          <w:szCs w:val="32"/>
        </w:rPr>
        <w:t>评价结论及建议</w:t>
      </w:r>
    </w:p>
    <w:p>
      <w:pPr>
        <w:numPr>
          <w:ilvl w:val="0"/>
          <w:numId w:val="5"/>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评价结论。</w:t>
      </w:r>
    </w:p>
    <w:p>
      <w:pPr>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i w:val="0"/>
          <w:caps w:val="0"/>
          <w:color w:val="000000"/>
          <w:spacing w:val="0"/>
          <w:kern w:val="2"/>
          <w:sz w:val="32"/>
          <w:szCs w:val="32"/>
          <w:shd w:val="clear" w:color="auto" w:fill="FFFFFF"/>
          <w:lang w:val="en-US" w:eastAsia="zh-CN" w:bidi="ar-SA"/>
        </w:rPr>
      </w:pPr>
      <w:r>
        <w:rPr>
          <w:rFonts w:hint="eastAsia" w:ascii="仿宋_GB2312" w:hAnsi="仿宋_GB2312" w:eastAsia="仿宋_GB2312" w:cs="仿宋_GB2312"/>
          <w:b w:val="0"/>
          <w:bCs w:val="0"/>
          <w:i w:val="0"/>
          <w:caps w:val="0"/>
          <w:color w:val="000000"/>
          <w:spacing w:val="0"/>
          <w:kern w:val="2"/>
          <w:sz w:val="32"/>
          <w:szCs w:val="32"/>
          <w:shd w:val="clear" w:color="auto" w:fill="FFFFFF"/>
          <w:lang w:val="en-US" w:eastAsia="zh-CN" w:bidi="ar-SA"/>
        </w:rPr>
        <w:t>按照国家政策法规规定，结合本部门的实际情况，建立健全了财务管理制度和约束机制，依法、有效地使用财政资金，提高财政资金使用效率，合理分配人、财、物，完成了部门职能目标，实现了较高的工作效率和支出绩效。</w:t>
      </w:r>
    </w:p>
    <w:p>
      <w:pPr>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i w:val="0"/>
          <w:caps w:val="0"/>
          <w:color w:val="000000"/>
          <w:spacing w:val="0"/>
          <w:kern w:val="2"/>
          <w:sz w:val="32"/>
          <w:szCs w:val="32"/>
          <w:shd w:val="clear" w:color="auto" w:fill="FFFFFF"/>
          <w:lang w:val="en-US" w:eastAsia="zh-CN" w:bidi="ar-SA"/>
        </w:rPr>
      </w:pPr>
      <w:r>
        <w:rPr>
          <w:rFonts w:hint="eastAsia" w:ascii="仿宋_GB2312" w:hAnsi="仿宋_GB2312" w:eastAsia="仿宋_GB2312" w:cs="仿宋_GB2312"/>
          <w:b w:val="0"/>
          <w:bCs w:val="0"/>
          <w:i w:val="0"/>
          <w:caps w:val="0"/>
          <w:color w:val="000000"/>
          <w:spacing w:val="0"/>
          <w:kern w:val="2"/>
          <w:sz w:val="32"/>
          <w:szCs w:val="32"/>
          <w:shd w:val="clear" w:color="auto" w:fill="FFFFFF"/>
          <w:lang w:val="en-US" w:eastAsia="zh-CN" w:bidi="ar-SA"/>
        </w:rPr>
        <w:t>整体绩效评价得分96分，评价结果为良好。</w:t>
      </w:r>
    </w:p>
    <w:p>
      <w:pPr>
        <w:pStyle w:val="2"/>
        <w:numPr>
          <w:ilvl w:val="0"/>
          <w:numId w:val="0"/>
        </w:numPr>
      </w:pPr>
    </w:p>
    <w:p>
      <w:pPr>
        <w:numPr>
          <w:ilvl w:val="0"/>
          <w:numId w:val="5"/>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存在问题。</w:t>
      </w:r>
    </w:p>
    <w:p>
      <w:pPr>
        <w:pStyle w:val="10"/>
        <w:pageBreakBefore w:val="0"/>
        <w:widowControl w:val="0"/>
        <w:kinsoku/>
        <w:wordWrap/>
        <w:overflowPunct/>
        <w:topLinePunct w:val="0"/>
        <w:autoSpaceDE/>
        <w:autoSpaceDN/>
        <w:bidi w:val="0"/>
        <w:adjustRightInd/>
        <w:spacing w:line="560" w:lineRule="exact"/>
        <w:ind w:firstLine="640" w:firstLineChars="200"/>
        <w:textAlignment w:val="auto"/>
        <w:rPr>
          <w:rFonts w:hint="eastAsia"/>
        </w:rPr>
      </w:pPr>
      <w:r>
        <w:rPr>
          <w:rFonts w:hint="eastAsia" w:ascii="仿宋_GB2312" w:hAnsi="仿宋_GB2312" w:eastAsia="仿宋_GB2312" w:cs="仿宋_GB2312"/>
          <w:b w:val="0"/>
          <w:bCs w:val="0"/>
          <w:i w:val="0"/>
          <w:caps w:val="0"/>
          <w:color w:val="000000"/>
          <w:spacing w:val="0"/>
          <w:sz w:val="32"/>
          <w:szCs w:val="32"/>
          <w:shd w:val="clear" w:color="auto" w:fill="FFFFFF"/>
        </w:rPr>
        <w:t>预算编制的准确性有待加强，因编制预算时间与具体工作安排时间存在差异，有些无法预计的项目支出,需要在年度中间进行预算追加和调整。</w:t>
      </w:r>
    </w:p>
    <w:p>
      <w:pPr>
        <w:pStyle w:val="2"/>
        <w:numPr>
          <w:ilvl w:val="0"/>
          <w:numId w:val="0"/>
        </w:numPr>
        <w:ind w:leftChars="200"/>
      </w:pPr>
    </w:p>
    <w:p>
      <w:pPr>
        <w:numPr>
          <w:ilvl w:val="0"/>
          <w:numId w:val="5"/>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改进建议。</w:t>
      </w:r>
    </w:p>
    <w:p>
      <w:pPr>
        <w:pStyle w:val="10"/>
        <w:pageBreakBefore w:val="0"/>
        <w:widowControl w:val="0"/>
        <w:kinsoku/>
        <w:wordWrap/>
        <w:overflowPunct/>
        <w:topLinePunct w:val="0"/>
        <w:autoSpaceDE/>
        <w:autoSpaceDN/>
        <w:bidi w:val="0"/>
        <w:adjustRightInd/>
        <w:spacing w:line="560" w:lineRule="exact"/>
        <w:ind w:firstLine="642"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i w:val="0"/>
          <w:caps w:val="0"/>
          <w:color w:val="000000"/>
          <w:spacing w:val="0"/>
          <w:sz w:val="32"/>
          <w:szCs w:val="32"/>
          <w:shd w:val="clear" w:color="auto" w:fill="FFFFFF"/>
        </w:rPr>
        <w:t>一是</w:t>
      </w:r>
      <w:r>
        <w:rPr>
          <w:rFonts w:hint="eastAsia" w:ascii="仿宋_GB2312" w:hAnsi="仿宋_GB2312" w:eastAsia="仿宋_GB2312" w:cs="仿宋_GB2312"/>
          <w:b w:val="0"/>
          <w:bCs w:val="0"/>
          <w:i w:val="0"/>
          <w:caps w:val="0"/>
          <w:color w:val="000000"/>
          <w:spacing w:val="0"/>
          <w:sz w:val="32"/>
          <w:szCs w:val="32"/>
          <w:shd w:val="clear" w:color="auto" w:fill="FFFFFF"/>
        </w:rPr>
        <w:t>进一步深入学习贯彻落实《中华人民共和国预算法》，加强预算管理，建立健全全面规范、公开透明的预算制度</w:t>
      </w:r>
      <w:r>
        <w:rPr>
          <w:rFonts w:hint="eastAsia" w:ascii="仿宋_GB2312" w:hAnsi="仿宋_GB2312" w:eastAsia="仿宋_GB2312" w:cs="仿宋_GB2312"/>
          <w:b w:val="0"/>
          <w:bCs w:val="0"/>
          <w:i w:val="0"/>
          <w:caps w:val="0"/>
          <w:color w:val="000000"/>
          <w:spacing w:val="0"/>
          <w:sz w:val="32"/>
          <w:szCs w:val="32"/>
          <w:shd w:val="clear" w:color="auto" w:fill="FFFFFF"/>
          <w:lang w:eastAsia="zh-CN"/>
        </w:rPr>
        <w:t>；</w:t>
      </w:r>
      <w:r>
        <w:rPr>
          <w:rFonts w:hint="eastAsia" w:ascii="仿宋_GB2312" w:hAnsi="仿宋_GB2312" w:eastAsia="仿宋_GB2312" w:cs="仿宋_GB2312"/>
          <w:b/>
          <w:bCs/>
          <w:i w:val="0"/>
          <w:caps w:val="0"/>
          <w:color w:val="000000"/>
          <w:spacing w:val="0"/>
          <w:sz w:val="32"/>
          <w:szCs w:val="32"/>
          <w:shd w:val="clear" w:color="auto" w:fill="FFFFFF"/>
        </w:rPr>
        <w:t>二是</w:t>
      </w:r>
      <w:r>
        <w:rPr>
          <w:rFonts w:hint="eastAsia" w:ascii="仿宋_GB2312" w:hAnsi="仿宋_GB2312" w:eastAsia="仿宋_GB2312" w:cs="仿宋_GB2312"/>
          <w:b w:val="0"/>
          <w:bCs w:val="0"/>
          <w:i w:val="0"/>
          <w:caps w:val="0"/>
          <w:color w:val="000000"/>
          <w:spacing w:val="0"/>
          <w:sz w:val="32"/>
          <w:szCs w:val="32"/>
          <w:shd w:val="clear" w:color="auto" w:fill="FFFFFF"/>
        </w:rPr>
        <w:t>进一步加强预算编制，早部署早谋划，提高预算编制的精准性，严格预算调整，项目实施分类管理，明确经费保障范围</w:t>
      </w:r>
      <w:r>
        <w:rPr>
          <w:rFonts w:hint="eastAsia" w:ascii="仿宋_GB2312" w:hAnsi="仿宋_GB2312" w:eastAsia="仿宋_GB2312" w:cs="仿宋_GB2312"/>
          <w:b w:val="0"/>
          <w:bCs w:val="0"/>
          <w:i w:val="0"/>
          <w:caps w:val="0"/>
          <w:color w:val="000000"/>
          <w:spacing w:val="0"/>
          <w:sz w:val="32"/>
          <w:szCs w:val="32"/>
          <w:shd w:val="clear" w:color="auto" w:fill="FFFFFF"/>
          <w:lang w:eastAsia="zh-CN"/>
        </w:rPr>
        <w:t>；</w:t>
      </w:r>
      <w:r>
        <w:rPr>
          <w:rFonts w:hint="eastAsia" w:ascii="仿宋_GB2312" w:hAnsi="仿宋_GB2312" w:eastAsia="仿宋_GB2312" w:cs="仿宋_GB2312"/>
          <w:b/>
          <w:bCs/>
          <w:i w:val="0"/>
          <w:caps w:val="0"/>
          <w:color w:val="000000"/>
          <w:spacing w:val="0"/>
          <w:sz w:val="32"/>
          <w:szCs w:val="32"/>
          <w:shd w:val="clear" w:color="auto" w:fill="FFFFFF"/>
          <w:lang w:eastAsia="zh-CN"/>
        </w:rPr>
        <w:t>三是</w:t>
      </w:r>
      <w:r>
        <w:rPr>
          <w:rFonts w:hint="eastAsia" w:ascii="仿宋_GB2312" w:hAnsi="仿宋_GB2312" w:eastAsia="仿宋_GB2312" w:cs="仿宋_GB2312"/>
          <w:color w:val="000000"/>
          <w:sz w:val="32"/>
          <w:szCs w:val="32"/>
        </w:rPr>
        <w:t>进一步重视预算的编制工作，提高预算编制的精确度，提高财政资金使用效率，尽量减少预算执行调整、结转和结余注销的情形。</w:t>
      </w:r>
    </w:p>
    <w:p>
      <w:pPr>
        <w:pStyle w:val="2"/>
        <w:ind w:left="0" w:leftChars="0" w:firstLine="0" w:firstLineChars="0"/>
        <w:rPr>
          <w:rFonts w:hint="eastAsia" w:ascii="仿宋_GB2312" w:hAnsi="仿宋_GB2312" w:eastAsia="仿宋_GB2312" w:cs="仿宋_GB2312"/>
          <w:color w:val="000000"/>
          <w:sz w:val="32"/>
          <w:szCs w:val="32"/>
        </w:rPr>
      </w:pPr>
    </w:p>
    <w:p>
      <w:pPr>
        <w:pStyle w:val="2"/>
        <w:rPr>
          <w:rFonts w:hint="eastAsia" w:ascii="仿宋_GB2312" w:hAnsi="仿宋_GB2312" w:eastAsia="仿宋_GB2312" w:cs="仿宋_GB2312"/>
          <w:color w:val="000000"/>
          <w:sz w:val="32"/>
          <w:szCs w:val="32"/>
        </w:rPr>
      </w:pPr>
    </w:p>
    <w:p>
      <w:pPr>
        <w:pStyle w:val="2"/>
        <w:ind w:firstLine="4870" w:firstLineChars="1522"/>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黑水县卫生健康局</w:t>
      </w:r>
    </w:p>
    <w:p>
      <w:pPr>
        <w:pStyle w:val="2"/>
        <w:ind w:firstLine="4870" w:firstLineChars="1522"/>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2025年8月16日</w:t>
      </w:r>
    </w:p>
    <w:p/>
    <w:p>
      <w:pPr>
        <w:pStyle w:val="2"/>
        <w:numPr>
          <w:ilvl w:val="0"/>
          <w:numId w:val="0"/>
        </w:numPr>
        <w:ind w:leftChars="200"/>
      </w:pPr>
    </w:p>
    <w:p>
      <w:pPr>
        <w:spacing w:line="580" w:lineRule="exact"/>
        <w:ind w:firstLine="640" w:firstLineChars="200"/>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36BAF3"/>
    <w:multiLevelType w:val="singleLevel"/>
    <w:tmpl w:val="8236BAF3"/>
    <w:lvl w:ilvl="0" w:tentative="0">
      <w:start w:val="1"/>
      <w:numFmt w:val="decimal"/>
      <w:suff w:val="nothing"/>
      <w:lvlText w:val="%1．"/>
      <w:lvlJc w:val="left"/>
    </w:lvl>
  </w:abstractNum>
  <w:abstractNum w:abstractNumId="1">
    <w:nsid w:val="AC3CA3F9"/>
    <w:multiLevelType w:val="singleLevel"/>
    <w:tmpl w:val="AC3CA3F9"/>
    <w:lvl w:ilvl="0" w:tentative="0">
      <w:start w:val="2"/>
      <w:numFmt w:val="chineseCounting"/>
      <w:suff w:val="nothing"/>
      <w:lvlText w:val="（%1）"/>
      <w:lvlJc w:val="left"/>
      <w:rPr>
        <w:rFonts w:hint="eastAsia"/>
      </w:rPr>
    </w:lvl>
  </w:abstractNum>
  <w:abstractNum w:abstractNumId="2">
    <w:nsid w:val="CD7AE9C6"/>
    <w:multiLevelType w:val="singleLevel"/>
    <w:tmpl w:val="CD7AE9C6"/>
    <w:lvl w:ilvl="0" w:tentative="0">
      <w:start w:val="2"/>
      <w:numFmt w:val="chineseCounting"/>
      <w:suff w:val="nothing"/>
      <w:lvlText w:val="（%1）"/>
      <w:lvlJc w:val="left"/>
      <w:rPr>
        <w:rFonts w:hint="eastAsia"/>
      </w:rPr>
    </w:lvl>
  </w:abstractNum>
  <w:abstractNum w:abstractNumId="3">
    <w:nsid w:val="1F5D81E6"/>
    <w:multiLevelType w:val="singleLevel"/>
    <w:tmpl w:val="1F5D81E6"/>
    <w:lvl w:ilvl="0" w:tentative="0">
      <w:start w:val="1"/>
      <w:numFmt w:val="chineseCounting"/>
      <w:suff w:val="nothing"/>
      <w:lvlText w:val="（%1）"/>
      <w:lvlJc w:val="left"/>
      <w:rPr>
        <w:rFonts w:hint="eastAsia"/>
      </w:rPr>
    </w:lvl>
  </w:abstractNum>
  <w:abstractNum w:abstractNumId="4">
    <w:nsid w:val="32FD0899"/>
    <w:multiLevelType w:val="singleLevel"/>
    <w:tmpl w:val="32FD0899"/>
    <w:lvl w:ilvl="0" w:tentative="0">
      <w:start w:val="4"/>
      <w:numFmt w:val="chineseCounting"/>
      <w:suff w:val="nothing"/>
      <w:lvlText w:val="%1、"/>
      <w:lvlJc w:val="left"/>
      <w:rPr>
        <w:rFonts w:hint="eastAsia"/>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zdkNzNjMTVjMjRkY2M4MDkwZjEwYTZhMmZhNThhN2IifQ=="/>
    <w:docVar w:name="KSO_WPS_MARK_KEY" w:val="f6e3b782-861d-4c06-930b-8961bccd3a34"/>
  </w:docVars>
  <w:rsids>
    <w:rsidRoot w:val="00491B22"/>
    <w:rsid w:val="00291808"/>
    <w:rsid w:val="00491B22"/>
    <w:rsid w:val="0052390C"/>
    <w:rsid w:val="10183A98"/>
    <w:rsid w:val="1A2A22F2"/>
    <w:rsid w:val="2DEF09B7"/>
    <w:rsid w:val="34EB1F43"/>
    <w:rsid w:val="36435EC2"/>
    <w:rsid w:val="4DD97D2F"/>
    <w:rsid w:val="4EC45925"/>
    <w:rsid w:val="5F7EE723"/>
    <w:rsid w:val="60D032A5"/>
    <w:rsid w:val="65737C69"/>
    <w:rsid w:val="6E799F4A"/>
    <w:rsid w:val="6EA723B0"/>
    <w:rsid w:val="7167407E"/>
    <w:rsid w:val="7CFD55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680"/>
    </w:pPr>
  </w:style>
  <w:style w:type="paragraph" w:styleId="4">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Char"/>
    <w:basedOn w:val="7"/>
    <w:link w:val="5"/>
    <w:semiHidden/>
    <w:qFormat/>
    <w:uiPriority w:val="99"/>
    <w:rPr>
      <w:sz w:val="18"/>
      <w:szCs w:val="18"/>
    </w:rPr>
  </w:style>
  <w:style w:type="character" w:customStyle="1" w:styleId="9">
    <w:name w:val="页脚 Char"/>
    <w:basedOn w:val="7"/>
    <w:link w:val="4"/>
    <w:semiHidden/>
    <w:qFormat/>
    <w:uiPriority w:val="99"/>
    <w:rPr>
      <w:sz w:val="18"/>
      <w:szCs w:val="18"/>
    </w:rPr>
  </w:style>
  <w:style w:type="paragraph" w:customStyle="1" w:styleId="10">
    <w:name w:val="Normalec0a80fc"/>
    <w:next w:val="3"/>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5</Pages>
  <Words>2224</Words>
  <Characters>2382</Characters>
  <Lines>2</Lines>
  <Paragraphs>1</Paragraphs>
  <TotalTime>28</TotalTime>
  <ScaleCrop>false</ScaleCrop>
  <LinksUpToDate>false</LinksUpToDate>
  <CharactersWithSpaces>2384</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2025-10-14T16:12:35Z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AEA07E5B476540F9AED430D39145EF8C_12</vt:lpwstr>
  </property>
</Properties>
</file>