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640" w:firstLineChars="6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黑水县卫生健康局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320" w:firstLineChars="3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年部门整体支出绩效评价报告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部门《单位)概况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黑水县卫生健康局（行政）是县一级预算单位。二级预算单位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个，包括：黑水县计划生育流动人口管理办公室、黑水县人民医院、黑水县中藏医院、黑水县妇幼保健计划生育服务中心及乡镇4个片区</w:t>
      </w:r>
      <w:r>
        <w:rPr>
          <w:rFonts w:hint="eastAsia" w:ascii="仿宋_GB2312" w:hAnsi="仿宋_GB2312" w:cs="仿宋_GB2312"/>
          <w:b w:val="0"/>
          <w:bCs/>
          <w:color w:val="000000"/>
          <w:sz w:val="32"/>
          <w:szCs w:val="32"/>
          <w:lang w:eastAsia="zh-CN"/>
        </w:rPr>
        <w:t>卫生院构成。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both"/>
        <w:textAlignment w:val="auto"/>
        <w:rPr>
          <w:rFonts w:hint="eastAsia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编制情况：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总编制数4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个。局机关编制数24个，县级医疗单位、乡镇（中心）卫生院、社区卫生服务中心编制数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406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个（其中县医院150个、县妇计中心39个、县中藏医院26个、乡镇卫生院178个、社区卫生机构13个）。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</w:rPr>
        <w:t>人员现状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eastAsia="zh-CN"/>
        </w:rPr>
        <w:t>截止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12月底，</w:t>
      </w:r>
      <w:r>
        <w:rPr>
          <w:rFonts w:hint="eastAsia" w:ascii="仿宋_GB2312" w:hAnsi="仿宋_GB2312" w:eastAsia="仿宋_GB2312" w:cs="仿宋_GB2312"/>
          <w:sz w:val="32"/>
          <w:szCs w:val="32"/>
        </w:rPr>
        <w:t>实有在编在职人员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392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局机关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24人、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县医院1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43</w:t>
      </w:r>
      <w:r>
        <w:rPr>
          <w:rFonts w:hint="eastAsia" w:ascii="仿宋_GB2312" w:hAnsi="仿宋_GB2312" w:eastAsia="仿宋_GB2312" w:cs="仿宋_GB2312"/>
          <w:sz w:val="32"/>
          <w:szCs w:val="32"/>
        </w:rPr>
        <w:t>人、县妇幼保健院3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人、县中藏医院2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人、乡镇（中心）卫生院、社区卫生服务中心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166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；编外人员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24人，三支一扶人员7人，基本公共卫生特别服务岗15人。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320" w:firstLineChars="1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1．收入与预算对比分析：本单位2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年年初预算安排收入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12065.31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元，本年实际收入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12954.14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元，本年实际收入与年初预算增加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888.83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元，差异率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6.8</w:t>
      </w:r>
      <w:r>
        <w:rPr>
          <w:rFonts w:hint="eastAsia" w:ascii="仿宋_GB2312" w:hAnsi="仿宋_GB2312" w:eastAsia="仿宋_GB2312" w:cs="仿宋_GB2312"/>
          <w:sz w:val="32"/>
          <w:szCs w:val="32"/>
        </w:rPr>
        <w:t>%。差异主要原因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为：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上级专款未纳入年初预算安排；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</w:t>
      </w:r>
      <w:r>
        <w:rPr>
          <w:rFonts w:hint="eastAsia" w:ascii="仿宋_GB2312" w:hAnsi="仿宋_GB2312" w:cs="仿宋_GB2312"/>
          <w:color w:val="auto"/>
          <w:sz w:val="32"/>
          <w:szCs w:val="32"/>
          <w:lang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人员经费工资社保金基数增长</w:t>
      </w:r>
      <w:r>
        <w:rPr>
          <w:rFonts w:hint="eastAsia" w:ascii="仿宋_GB2312" w:hAnsi="仿宋_GB2312" w:cs="仿宋_GB2312"/>
          <w:b w:val="0"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ind w:firstLine="642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本年度实际收入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12954.14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。其中：一般公共预算财政拨款收入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12954.14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，较上年收入增加970.73万元。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0" w:line="540" w:lineRule="exac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2024年决算报表结转结余0万元。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2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履职效能。（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15分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CN" w:eastAsia="zh-CN"/>
        </w:rPr>
        <w:t>基本公共卫生服务（分值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5分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zh-CN" w:eastAsia="zh-CN"/>
        </w:rPr>
        <w:t>）：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lang w:val="en-US" w:eastAsia="zh-CN"/>
        </w:rPr>
        <w:t>加强重点地方病防治监测体系建设，继续开展全覆盖监测，评价防治效果。强化病人救治，科学开展地方病病人对症治疗。加强地方病防治宣传教育，引导群众形成健康的生产生活方式，提高群众防病意识，有效减少地方病发生。该项指标得分=年终完成履职效果目标数量÷年初目标设置总数×100%×指标分值=3÷3×100%×5=5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重大公共卫生服务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（分值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5分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</w:t>
      </w:r>
      <w:r>
        <w:rPr>
          <w:rFonts w:hint="eastAsia" w:ascii="仿宋_GB2312" w:hAnsi="仿宋_GB2312" w:eastAsia="仿宋_GB2312" w:cs="仿宋_GB2312"/>
          <w:lang w:val="en-US" w:eastAsia="zh-CN"/>
        </w:rPr>
        <w:t>：为0-6岁适龄儿童进行常规接种，开展重点传染病及危险因素监测。健全完善慢性病及其危险因素监测网络，以慢性病综合防控示范区和全民健康生活方式行动为抓手，加强慢性病防控能力建设。加强严重精神障碍患者管理。进一步完善“政府组织领导、部门各负其责、全社会共同参与”的防治机制，全面落实各项艾滋病和性病预防控制措施，提高发生率，扩大治疗覆盖面，提升治疗成功率，降低死亡率，降低新发感染，提高感染者和病人的生活质量。及时发现和规范治疗管理结核病患者，持续降低结核病的感染、发病与死亡，确保结核病疫情稳步下降，提高群众健康水平。全面开展包虫病综合防治，提升我县包虫病防治成效。加强麻风病症状、高危人群、现症病人、疫点监测，强化病例发现，进一步落实麻风病控制策略和措施，消除传染源，减少麻风病危害。强化疟疾监测，及时报告并规范处置疟疾病例；开展食源性寄生虫病监测和防治，有效控制流行程度；开展黑热病监测，减少黑热病新发病例发生。该项指标得分=年终完成履职效果目标数量÷年初目标设置总数×100%×指标分值=4÷4×100%×5=5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计划生育服务项目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（分值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5分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）：开展202</w:t>
      </w:r>
      <w:r>
        <w:rPr>
          <w:rFonts w:hint="eastAsia" w:ascii="仿宋_GB2312" w:hAnsi="仿宋_GB2312" w:cs="仿宋_GB2312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年度计划生育州、县级补助工作，符合四川省计划生育家庭特别扶助制度的人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群及四川省农村部分计划生育家庭奖励扶助对象。</w:t>
      </w:r>
      <w:r>
        <w:rPr>
          <w:rFonts w:hint="eastAsia" w:ascii="仿宋_GB2312" w:hAnsi="仿宋_GB2312" w:eastAsia="仿宋_GB2312" w:cs="仿宋_GB2312"/>
          <w:lang w:val="en-US" w:eastAsia="zh-CN"/>
        </w:rPr>
        <w:t>该项指标得分=年终完成履职效果目标数量÷年初目标设置总数×100%×指标分值=2÷2×100%×5=5分。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fill="FFFFFF"/>
          <w:lang w:val="zh-CN" w:eastAsia="zh-CN" w:bidi="ar-SA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预算管理。（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23分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）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lang w:val="zh-CN" w:eastAsia="zh-CN"/>
        </w:rPr>
        <w:t>预算编制质量（</w:t>
      </w:r>
      <w:r>
        <w:rPr>
          <w:rFonts w:hint="eastAsia" w:ascii="仿宋_GB2312" w:hAnsi="仿宋_GB2312" w:eastAsia="仿宋_GB2312" w:cs="仿宋_GB2312"/>
          <w:lang w:val="en-US" w:eastAsia="zh-CN"/>
        </w:rPr>
        <w:t>6分</w:t>
      </w:r>
      <w:r>
        <w:rPr>
          <w:rFonts w:hint="eastAsia" w:ascii="仿宋_GB2312" w:hAnsi="仿宋_GB2312" w:eastAsia="仿宋_GB2312" w:cs="仿宋_GB2312"/>
          <w:lang w:val="zh-CN" w:eastAsia="zh-CN"/>
        </w:rPr>
        <w:t>）</w:t>
      </w:r>
      <w:r>
        <w:rPr>
          <w:rFonts w:hint="eastAsia" w:ascii="仿宋_GB2312" w:hAnsi="仿宋_GB2312" w:eastAsia="仿宋_GB2312" w:cs="仿宋_GB231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本单位本年度收入调整预算数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11983.41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万元，收入决算数为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-SA"/>
        </w:rPr>
        <w:t>11983.41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万元，预算完成度为100.00%。本年度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调整预算数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-SA"/>
        </w:rPr>
        <w:t>11983.41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决算数为</w:t>
      </w:r>
      <w:r>
        <w:rPr>
          <w:rFonts w:hint="eastAsia" w:ascii="仿宋_GB2312" w:hAnsi="仿宋_GB2312" w:cs="仿宋_GB2312"/>
          <w:kern w:val="2"/>
          <w:sz w:val="32"/>
          <w:szCs w:val="32"/>
          <w:lang w:val="en-US" w:eastAsia="zh-CN" w:bidi="ar-SA"/>
        </w:rPr>
        <w:t>11983.41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完成度为100.00%。截止202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年度我单位资金无结转结余。</w:t>
      </w:r>
      <w:r>
        <w:rPr>
          <w:rFonts w:hint="eastAsia" w:ascii="仿宋_GB2312" w:eastAsia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分，自评得分</w:t>
      </w:r>
      <w:r>
        <w:rPr>
          <w:rFonts w:hint="eastAsia" w:ascii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rPr>
          <w:rFonts w:hint="eastAsia" w:ascii="仿宋_GB2312" w:eastAsia="仿宋_GB2312"/>
          <w:b w:val="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单位收入统筹</w:t>
      </w:r>
      <w:r>
        <w:rPr>
          <w:rFonts w:hint="eastAsia" w:ascii="仿宋_GB2312" w:hAnsi="仿宋_GB2312" w:eastAsia="仿宋_GB2312" w:cs="仿宋_GB231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4分</w:t>
      </w:r>
      <w:r>
        <w:rPr>
          <w:rFonts w:hint="eastAsia" w:ascii="仿宋_GB2312" w:hAnsi="仿宋_GB2312" w:eastAsia="仿宋_GB2312" w:cs="仿宋_GB2312"/>
          <w:lang w:val="zh-CN" w:eastAsia="zh-CN"/>
        </w:rPr>
        <w:t>）：</w:t>
      </w:r>
      <w:r>
        <w:rPr>
          <w:rFonts w:hint="eastAsia" w:ascii="仿宋_GB2312" w:eastAsia="仿宋_GB2312"/>
          <w:b w:val="0"/>
          <w:sz w:val="32"/>
          <w:szCs w:val="32"/>
        </w:rPr>
        <w:t>我单位不涉及该项指标</w:t>
      </w:r>
      <w:r>
        <w:rPr>
          <w:rFonts w:ascii="仿宋_GB2312" w:eastAsia="仿宋_GB2312"/>
          <w:b w:val="0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分。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支出执行进度</w:t>
      </w:r>
      <w:r>
        <w:rPr>
          <w:rFonts w:hint="eastAsia" w:ascii="仿宋_GB2312" w:hAnsi="仿宋_GB2312" w:eastAsia="仿宋_GB2312" w:cs="仿宋_GB231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6分</w:t>
      </w:r>
      <w:r>
        <w:rPr>
          <w:rFonts w:hint="eastAsia" w:ascii="仿宋_GB2312" w:hAnsi="仿宋_GB2312" w:eastAsia="仿宋_GB2312" w:cs="仿宋_GB2312"/>
          <w:lang w:val="zh-CN" w:eastAsia="zh-CN"/>
        </w:rPr>
        <w:t>）：</w:t>
      </w:r>
      <w:r>
        <w:rPr>
          <w:rFonts w:hint="eastAsia" w:ascii="仿宋_GB2312" w:eastAsia="仿宋_GB2312"/>
          <w:b w:val="0"/>
          <w:sz w:val="32"/>
          <w:szCs w:val="32"/>
          <w:highlight w:val="none"/>
        </w:rPr>
        <w:t>202</w:t>
      </w:r>
      <w:r>
        <w:rPr>
          <w:rFonts w:hint="eastAsia" w:ascii="仿宋_GB2312"/>
          <w:b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highlight w:val="none"/>
        </w:rPr>
        <w:t>年1-6月支付情况：预算数据</w:t>
      </w:r>
      <w:r>
        <w:rPr>
          <w:rFonts w:hint="eastAsia" w:ascii="仿宋_GB2312"/>
          <w:b w:val="0"/>
          <w:sz w:val="32"/>
          <w:szCs w:val="32"/>
          <w:highlight w:val="none"/>
          <w:lang w:val="en-US" w:eastAsia="zh-CN"/>
        </w:rPr>
        <w:t>5991.7</w:t>
      </w:r>
      <w:r>
        <w:rPr>
          <w:rFonts w:hint="eastAsia" w:ascii="仿宋_GB2312" w:eastAsia="仿宋_GB2312"/>
          <w:b w:val="0"/>
          <w:sz w:val="32"/>
          <w:szCs w:val="32"/>
          <w:highlight w:val="none"/>
        </w:rPr>
        <w:t>万元，支付数据</w:t>
      </w:r>
      <w:r>
        <w:rPr>
          <w:rFonts w:hint="eastAsia" w:ascii="仿宋_GB2312"/>
          <w:b w:val="0"/>
          <w:sz w:val="32"/>
          <w:szCs w:val="32"/>
          <w:highlight w:val="none"/>
          <w:lang w:val="en-US" w:eastAsia="zh-CN"/>
        </w:rPr>
        <w:t>5653.16</w:t>
      </w:r>
      <w:r>
        <w:rPr>
          <w:rFonts w:hint="eastAsia" w:ascii="仿宋_GB2312" w:eastAsia="仿宋_GB2312"/>
          <w:b w:val="0"/>
          <w:sz w:val="32"/>
          <w:szCs w:val="32"/>
          <w:highlight w:val="none"/>
        </w:rPr>
        <w:t>万元，支付率</w:t>
      </w:r>
      <w:r>
        <w:rPr>
          <w:rFonts w:hint="eastAsia" w:ascii="仿宋_GB2312"/>
          <w:b w:val="0"/>
          <w:sz w:val="32"/>
          <w:szCs w:val="32"/>
          <w:highlight w:val="none"/>
          <w:lang w:val="en-US" w:eastAsia="zh-CN"/>
        </w:rPr>
        <w:t>94</w:t>
      </w:r>
      <w:r>
        <w:rPr>
          <w:rFonts w:hint="eastAsia" w:ascii="仿宋_GB2312" w:eastAsia="仿宋_GB2312"/>
          <w:b w:val="0"/>
          <w:sz w:val="32"/>
          <w:szCs w:val="32"/>
          <w:highlight w:val="none"/>
        </w:rPr>
        <w:t>%。1-12月预算数据</w:t>
      </w:r>
      <w:r>
        <w:rPr>
          <w:rFonts w:hint="eastAsia" w:ascii="仿宋_GB2312"/>
          <w:b w:val="0"/>
          <w:sz w:val="32"/>
          <w:szCs w:val="32"/>
          <w:highlight w:val="none"/>
          <w:lang w:val="en-US" w:eastAsia="zh-CN"/>
        </w:rPr>
        <w:t>11983.41</w:t>
      </w:r>
      <w:r>
        <w:rPr>
          <w:rFonts w:hint="eastAsia" w:ascii="仿宋_GB2312" w:eastAsia="仿宋_GB2312"/>
          <w:b w:val="0"/>
          <w:sz w:val="32"/>
          <w:szCs w:val="32"/>
          <w:highlight w:val="none"/>
        </w:rPr>
        <w:t>万元，支付数据</w:t>
      </w:r>
      <w:r>
        <w:rPr>
          <w:rFonts w:hint="eastAsia" w:ascii="仿宋_GB2312"/>
          <w:b w:val="0"/>
          <w:sz w:val="32"/>
          <w:szCs w:val="32"/>
          <w:highlight w:val="none"/>
          <w:lang w:val="en-US" w:eastAsia="zh-CN"/>
        </w:rPr>
        <w:t>11983.41</w:t>
      </w:r>
      <w:r>
        <w:rPr>
          <w:rFonts w:hint="eastAsia" w:ascii="仿宋_GB2312" w:eastAsia="仿宋_GB2312"/>
          <w:b w:val="0"/>
          <w:sz w:val="32"/>
          <w:szCs w:val="32"/>
          <w:highlight w:val="none"/>
        </w:rPr>
        <w:t>万元，支付率100%</w:t>
      </w:r>
      <w:r>
        <w:rPr>
          <w:rFonts w:ascii="仿宋_GB2312" w:eastAsia="仿宋_GB2312"/>
          <w:b w:val="0"/>
          <w:sz w:val="32"/>
          <w:szCs w:val="32"/>
          <w:highlight w:val="none"/>
        </w:rPr>
        <w:t>。</w:t>
      </w:r>
      <w:r>
        <w:rPr>
          <w:rFonts w:hint="eastAsia" w:ascii="仿宋_GB2312" w:eastAsia="仿宋_GB2312"/>
          <w:b w:val="0"/>
          <w:sz w:val="32"/>
          <w:szCs w:val="32"/>
          <w:highlight w:val="none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 w:val="0"/>
          <w:sz w:val="32"/>
          <w:szCs w:val="32"/>
          <w:highlight w:val="none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 w:val="0"/>
          <w:sz w:val="32"/>
          <w:szCs w:val="32"/>
          <w:highlight w:val="none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预算年终结余</w:t>
      </w:r>
      <w:r>
        <w:rPr>
          <w:rFonts w:hint="eastAsia" w:ascii="仿宋_GB2312" w:hAnsi="仿宋_GB2312" w:eastAsia="仿宋_GB2312" w:cs="仿宋_GB231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2分</w:t>
      </w:r>
      <w:r>
        <w:rPr>
          <w:rFonts w:hint="eastAsia" w:ascii="仿宋_GB2312" w:hAnsi="仿宋_GB2312" w:eastAsia="仿宋_GB2312" w:cs="仿宋_GB2312"/>
          <w:lang w:val="zh-CN" w:eastAsia="zh-CN"/>
        </w:rPr>
        <w:t>）：</w:t>
      </w: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cs="Times New Roman"/>
          <w:b w:val="0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年无结转结余。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指标分值2分，自评得分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严控一般性支出</w:t>
      </w:r>
      <w:r>
        <w:rPr>
          <w:rFonts w:hint="eastAsia" w:ascii="仿宋_GB2312" w:hAnsi="仿宋_GB2312" w:eastAsia="仿宋_GB2312" w:cs="仿宋_GB231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5分</w:t>
      </w:r>
      <w:r>
        <w:rPr>
          <w:rFonts w:hint="eastAsia" w:ascii="仿宋_GB2312" w:hAnsi="仿宋_GB2312" w:eastAsia="仿宋_GB2312" w:cs="仿宋_GB2312"/>
          <w:lang w:val="zh-CN" w:eastAsia="zh-CN"/>
        </w:rPr>
        <w:t>）：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fill="FFFFFF"/>
          <w:lang w:val="zh-CN" w:eastAsia="zh-CN" w:bidi="ar-SA"/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财务管理。（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10分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财务管理制度</w:t>
      </w:r>
      <w:r>
        <w:rPr>
          <w:rFonts w:hint="eastAsia" w:ascii="仿宋_GB2312" w:hAnsi="仿宋_GB2312" w:eastAsia="仿宋_GB2312" w:cs="仿宋_GB2312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4分</w:t>
      </w:r>
      <w:r>
        <w:rPr>
          <w:rFonts w:hint="eastAsia" w:ascii="仿宋_GB2312" w:hAnsi="仿宋_GB2312" w:eastAsia="仿宋_GB2312" w:cs="仿宋_GB2312"/>
          <w:lang w:val="zh-CN" w:eastAsia="zh-CN"/>
        </w:rPr>
        <w:t>）：黑水县</w:t>
      </w:r>
      <w:r>
        <w:rPr>
          <w:rFonts w:hint="eastAsia" w:ascii="仿宋_GB2312" w:hAnsi="仿宋_GB2312" w:cs="仿宋_GB2312"/>
          <w:lang w:val="zh-CN" w:eastAsia="zh-CN"/>
        </w:rPr>
        <w:t>卫生健康局</w:t>
      </w:r>
      <w:r>
        <w:rPr>
          <w:rFonts w:hint="eastAsia" w:ascii="仿宋_GB2312" w:hAnsi="仿宋_GB2312" w:eastAsia="仿宋_GB2312" w:cs="仿宋_GB2312"/>
          <w:lang w:val="zh-CN" w:eastAsia="zh-CN"/>
        </w:rPr>
        <w:t>建立有</w:t>
      </w:r>
      <w:r>
        <w:rPr>
          <w:rFonts w:hint="eastAsia" w:ascii="仿宋_GB2312" w:hAnsi="仿宋_GB2312" w:eastAsia="仿宋_GB2312" w:cs="仿宋_GB2312"/>
          <w:lang w:val="en-US" w:eastAsia="zh-CN"/>
        </w:rPr>
        <w:t>财务管理制度。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强化制度建设。不断强化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管理制度建设，依据相关法律、法规及管理办法，着重从预算绩效管理主要内容和环节，规范操作程序和质量控制要求，构建起工作有指导、实施有方案、内部有规程等相互支撑制度体系。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财务岗位设置（2分）：单位设有2名会计员，1名出纳人员（出纳不得兼管稽核、会计档案保管和收入、费用、债权、债务账簿的登记工作，机构设置合理。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资金使用规范（4分）：资金使用规范，账务处理符合事业单位会计账务处理的相关规定，预算项目资金分配科学、拨付合规、使用规范，执行准确，不存在挪用、挤占、截留等违规情况。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642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fill="FFFFFF"/>
          <w:lang w:val="zh-CN" w:eastAsia="zh-CN" w:bidi="ar-SA"/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资产管理。（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9分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ascii="仿宋_GB2312" w:hAnsi="仿宋_GB2312" w:eastAsia="仿宋_GB2312" w:cs="仿宋_GB2312"/>
          <w:lang w:val="zh-CN"/>
        </w:rPr>
        <w:t>人均资产变化率（</w:t>
      </w:r>
      <w:r>
        <w:rPr>
          <w:rFonts w:hint="eastAsia" w:ascii="仿宋_GB2312" w:hAnsi="仿宋_GB2312" w:eastAsia="仿宋_GB2312" w:cs="仿宋_GB2312"/>
          <w:lang w:val="en-US" w:eastAsia="zh-CN"/>
        </w:rPr>
        <w:t>3分</w:t>
      </w:r>
      <w:r>
        <w:rPr>
          <w:rFonts w:hint="eastAsia" w:ascii="仿宋_GB2312" w:hAnsi="仿宋_GB2312" w:eastAsia="仿宋_GB2312" w:cs="仿宋_GB2312"/>
          <w:lang w:val="zh-CN"/>
        </w:rPr>
        <w:t>）：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(期末人均资产-期初人均资产)/期初人均资产*100%。均符合相关规定，低于规定值。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lang w:val="en-US" w:eastAsia="zh-CN"/>
        </w:rPr>
        <w:t>资产利用率（3分）：</w:t>
      </w:r>
      <w:r>
        <w:rPr>
          <w:rFonts w:hint="eastAsia" w:ascii="仿宋_GB2312" w:eastAsia="仿宋_GB2312" w:cs="仿宋_GB2312"/>
          <w:sz w:val="32"/>
          <w:szCs w:val="32"/>
        </w:rPr>
        <w:t>截止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，固定资产总计</w:t>
      </w:r>
      <w:r>
        <w:rPr>
          <w:rFonts w:hint="eastAsia" w:ascii="仿宋_GB2312" w:cs="仿宋_GB2312"/>
          <w:sz w:val="32"/>
          <w:szCs w:val="32"/>
          <w:highlight w:val="none"/>
          <w:lang w:val="en-US" w:eastAsia="zh-CN"/>
        </w:rPr>
        <w:t>10963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万元，在用的固定资产总计</w:t>
      </w:r>
      <w:r>
        <w:rPr>
          <w:rFonts w:hint="eastAsia" w:ascii="仿宋_GB2312" w:cs="仿宋_GB2312"/>
          <w:sz w:val="32"/>
          <w:szCs w:val="32"/>
          <w:highlight w:val="none"/>
          <w:lang w:val="en-US" w:eastAsia="zh-CN"/>
        </w:rPr>
        <w:t>10963</w:t>
      </w:r>
      <w:r>
        <w:rPr>
          <w:rFonts w:hint="eastAsia" w:ascii="仿宋_GB2312" w:eastAsia="仿宋_GB2312" w:cs="仿宋_GB2312"/>
          <w:sz w:val="32"/>
          <w:szCs w:val="32"/>
          <w:highlight w:val="none"/>
        </w:rPr>
        <w:t>万元，固</w:t>
      </w:r>
      <w:r>
        <w:rPr>
          <w:rFonts w:hint="eastAsia" w:ascii="仿宋_GB2312" w:eastAsia="仿宋_GB2312" w:cs="仿宋_GB2312"/>
          <w:sz w:val="32"/>
          <w:szCs w:val="32"/>
        </w:rPr>
        <w:t>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资产盘活率（3分）:</w:t>
      </w:r>
      <w:r>
        <w:rPr>
          <w:rFonts w:hint="eastAsia" w:ascii="仿宋_GB2312" w:cs="仿宋_GB2312"/>
          <w:sz w:val="32"/>
          <w:szCs w:val="32"/>
          <w:lang w:eastAsia="zh-CN"/>
        </w:rPr>
        <w:t>资产闲置</w:t>
      </w:r>
      <w:r>
        <w:rPr>
          <w:rFonts w:hint="eastAsia" w:ascii="仿宋_GB2312" w:cs="仿宋_GB2312"/>
          <w:sz w:val="32"/>
          <w:szCs w:val="32"/>
          <w:lang w:val="en-US" w:eastAsia="zh-CN"/>
        </w:rPr>
        <w:t>0万元，</w:t>
      </w:r>
      <w:r>
        <w:rPr>
          <w:rFonts w:hint="eastAsia" w:ascii="仿宋_GB2312" w:cs="仿宋_GB2312"/>
          <w:sz w:val="32"/>
          <w:szCs w:val="32"/>
          <w:lang w:eastAsia="zh-CN"/>
        </w:rPr>
        <w:t>资产盘活率达</w:t>
      </w:r>
      <w:r>
        <w:rPr>
          <w:rFonts w:hint="eastAsia" w:ascii="仿宋_GB2312" w:cs="仿宋_GB2312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fill="FFFFFF"/>
          <w:lang w:val="zh-CN" w:eastAsia="zh-CN" w:bidi="ar-SA"/>
        </w:rPr>
        <w:t>5.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采购管理。（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6分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zh-CN"/>
        </w:rPr>
        <w:t>支持中小企业发展（</w:t>
      </w:r>
      <w:r>
        <w:rPr>
          <w:rFonts w:hint="eastAsia" w:ascii="仿宋_GB2312" w:hAnsi="仿宋_GB2312" w:eastAsia="仿宋_GB2312" w:cs="仿宋_GB2312"/>
          <w:lang w:val="en-US" w:eastAsia="zh-CN"/>
        </w:rPr>
        <w:t>3分</w:t>
      </w:r>
      <w:r>
        <w:rPr>
          <w:rFonts w:hint="eastAsia" w:ascii="仿宋_GB2312" w:hAnsi="仿宋_GB2312" w:eastAsia="仿宋_GB2312" w:cs="仿宋_GB2312"/>
          <w:lang w:val="zh-CN"/>
        </w:rPr>
        <w:t>）：</w:t>
      </w:r>
      <w:r>
        <w:rPr>
          <w:rFonts w:hint="eastAsia" w:ascii="仿宋_GB2312" w:hAnsi="仿宋_GB2312" w:eastAsia="仿宋_GB2312" w:cs="仿宋_GB2312"/>
          <w:lang w:val="en-US" w:eastAsia="zh-CN"/>
        </w:rPr>
        <w:t>202</w:t>
      </w:r>
      <w:r>
        <w:rPr>
          <w:rFonts w:hint="eastAsia" w:ascii="仿宋_GB2312" w:hAnsi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lang w:val="en-US" w:eastAsia="zh-CN"/>
        </w:rPr>
        <w:t>年无政府采购。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zh-CN"/>
        </w:rPr>
        <w:t>采购执行率（</w:t>
      </w:r>
      <w:r>
        <w:rPr>
          <w:rFonts w:hint="eastAsia" w:ascii="仿宋_GB2312" w:hAnsi="仿宋_GB2312" w:eastAsia="仿宋_GB2312" w:cs="仿宋_GB2312"/>
          <w:lang w:val="en-US" w:eastAsia="zh-CN"/>
        </w:rPr>
        <w:t>3分</w:t>
      </w:r>
      <w:r>
        <w:rPr>
          <w:rFonts w:hint="eastAsia" w:ascii="仿宋_GB2312" w:hAnsi="仿宋_GB2312" w:eastAsia="仿宋_GB2312" w:cs="仿宋_GB2312"/>
          <w:lang w:val="zh-CN"/>
        </w:rPr>
        <w:t>）：</w:t>
      </w:r>
      <w:r>
        <w:rPr>
          <w:rFonts w:hint="eastAsia" w:ascii="仿宋_GB2312" w:hAnsi="仿宋_GB2312" w:eastAsia="仿宋_GB2312" w:cs="仿宋_GB2312"/>
          <w:lang w:val="en-US" w:eastAsia="zh-CN"/>
        </w:rPr>
        <w:t>202</w:t>
      </w:r>
      <w:r>
        <w:rPr>
          <w:rFonts w:hint="eastAsia" w:ascii="仿宋_GB2312" w:hAnsi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lang w:val="en-US" w:eastAsia="zh-CN"/>
        </w:rPr>
        <w:t>年无政府采购。</w:t>
      </w:r>
    </w:p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642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shd w:val="clear" w:fill="FFFFFF"/>
          <w:lang w:val="zh-CN" w:eastAsia="zh-CN" w:bidi="ar-SA"/>
        </w:rPr>
        <w:t>（二）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部门预算项目绩效分析。</w:t>
      </w:r>
    </w:p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ascii="仿宋_GB2312" w:hAnsi="仿宋_GB2312" w:cs="仿宋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670.62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13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2947.03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firstLine="640" w:firstLineChars="200"/>
        <w:textAlignment w:val="auto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决策程序</w:t>
      </w:r>
      <w:r>
        <w:rPr>
          <w:rFonts w:hint="eastAsia" w:ascii="Times New Roman" w:hAnsi="Times New Roman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：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本单位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从项目立项必要性、投入经济性、目标合理性、实施可行性、筹资合规性。</w:t>
      </w:r>
      <w:r>
        <w:rPr>
          <w:rFonts w:hint="eastAsia" w:ascii="仿宋_GB2312" w:eastAsia="仿宋_GB2312"/>
        </w:rPr>
        <w:t>按照厉行节约的要求，结合项目开支情况结合实际需求、相关费用标准及市场价格水平，重点对</w:t>
      </w:r>
      <w:r>
        <w:rPr>
          <w:rFonts w:hint="eastAsia" w:ascii="仿宋_GB2312"/>
          <w:lang w:eastAsia="zh-CN"/>
        </w:rPr>
        <w:t>目标</w:t>
      </w:r>
      <w:r>
        <w:rPr>
          <w:rFonts w:hint="eastAsia" w:ascii="仿宋_GB2312" w:eastAsia="仿宋_GB2312"/>
        </w:rPr>
        <w:t>数量是否合理、投入是否经济、预算测算是否准确、测算过程是否详细、测算依据是否充分等方面进行了</w:t>
      </w:r>
      <w:r>
        <w:rPr>
          <w:rFonts w:hint="eastAsia" w:ascii="仿宋_GB2312"/>
          <w:lang w:eastAsia="zh-CN"/>
        </w:rPr>
        <w:t>分析</w:t>
      </w:r>
      <w:r>
        <w:rPr>
          <w:rFonts w:hint="eastAsia" w:ascii="仿宋_GB2312" w:eastAsia="仿宋_GB2312"/>
        </w:rPr>
        <w:t>。</w:t>
      </w:r>
      <w:r>
        <w:rPr>
          <w:rFonts w:hint="eastAsia" w:ascii="仿宋_GB2312" w:cs="仿宋"/>
          <w:sz w:val="32"/>
          <w:szCs w:val="32"/>
          <w:lang w:val="zh-CN" w:eastAsia="zh-CN" w:bidi="ar-SA"/>
        </w:rPr>
        <w:t>确定项目实施。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</w:rPr>
        <w:t>项目入库</w:t>
      </w:r>
      <w:r>
        <w:rPr>
          <w:rFonts w:hint="eastAsia" w:ascii="仿宋_GB2312"/>
          <w:lang w:val="en-US" w:eastAsia="zh-CN"/>
        </w:rPr>
        <w:t>:</w:t>
      </w:r>
      <w:r>
        <w:rPr>
          <w:rFonts w:hint="eastAsia" w:ascii="仿宋_GB2312"/>
          <w:lang w:eastAsia="zh-CN"/>
        </w:rPr>
        <w:t>我单位按照项目建设要求在规定时间完成项目入库。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zh-CN" w:eastAsia="zh-CN"/>
        </w:rPr>
        <w:t>目标设置</w:t>
      </w:r>
      <w:r>
        <w:rPr>
          <w:rFonts w:hint="eastAsia" w:ascii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申报的</w:t>
      </w:r>
      <w:r>
        <w:rPr>
          <w:rFonts w:hint="eastAsia" w:ascii="仿宋_GB2312" w:eastAsia="仿宋_GB2312"/>
          <w:sz w:val="32"/>
          <w:szCs w:val="32"/>
        </w:rPr>
        <w:t>资金项目内容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与具体实施内容相符的、申报目标是合理可行</w:t>
      </w:r>
      <w:r>
        <w:rPr>
          <w:rFonts w:hint="eastAsia" w:ascii="仿宋_GB2312" w:eastAsia="仿宋_GB2312" w:cs="仿宋"/>
          <w:sz w:val="32"/>
          <w:szCs w:val="32"/>
          <w:lang w:val="zh-CN" w:eastAsia="zh-CN" w:bidi="ar-SA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执行同向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：各项目实际列支内容与绩效目标设置方向相符。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项目组织管理架构及具体实施流程，包括机构设置、监管措施、执行相关管理制度等符合相关规定。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_GB2312" w:eastAsia="仿宋_GB2312"/>
          <w:b w:val="0"/>
          <w:sz w:val="32"/>
          <w:szCs w:val="32"/>
          <w:lang w:val="zh-CN" w:eastAsia="zh-CN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项目调整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：按照县委资金分配，设立项目，未调整。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firstLine="640" w:firstLineChars="200"/>
        <w:textAlignment w:val="auto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执行结果</w:t>
      </w:r>
      <w:r>
        <w:rPr>
          <w:rFonts w:hint="eastAsia" w:ascii="仿宋_GB2312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资金开支范围、标准及支付进度，支付依据合规合法，资金支付与预算相符。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40" w:left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目标完成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项目从经济、社会、生态、可持续效益以及服务对象满意度等方面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科学制定目标任务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截止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2024年年底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项目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按照目标任务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完成数量、质量、时效、成本等计划完成目标。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目标偏离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：预算项目绩效目标数量指标实现程度与预期目标无偏离情况。各项目实际工作中达到预期的目标或标准，与设定的绩效目标之间不存在差异。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hint="eastAsia" w:cs="Times New Roman"/>
          <w:sz w:val="32"/>
          <w:szCs w:val="32"/>
          <w:highlight w:val="none"/>
          <w:u w:val="none"/>
          <w:lang w:eastAsia="zh-CN"/>
        </w:rPr>
        <w:t>我单位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202</w:t>
      </w:r>
      <w:r>
        <w:rPr>
          <w:rFonts w:hint="eastAsia" w:cs="Times New Roman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  <w:t>年度</w:t>
      </w:r>
      <w:r>
        <w:rPr>
          <w:rFonts w:hint="eastAsia" w:cs="Times New Roman"/>
          <w:sz w:val="32"/>
          <w:szCs w:val="32"/>
          <w:highlight w:val="none"/>
          <w:u w:val="none"/>
          <w:lang w:eastAsia="zh-CN"/>
        </w:rPr>
        <w:t>不涉及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none"/>
        </w:rPr>
        <w:t>国有资本经营预算、社会保险基金预算。</w:t>
      </w:r>
    </w:p>
    <w:p>
      <w:pPr>
        <w:pStyle w:val="7"/>
        <w:rPr>
          <w:lang w:val="zh-CN" w:eastAsia="zh-CN"/>
        </w:rPr>
      </w:pPr>
      <w:bookmarkStart w:id="1" w:name="_GoBack"/>
      <w:bookmarkEnd w:id="1"/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黑水县卫生健康局无涉及重点领域绩效分析。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szCs w:val="32"/>
          <w:lang w:val="zh-CN"/>
        </w:rPr>
        <w:t>（四）绩效结果应用情况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组织实施阶段和评鉴结果的管理阶段等一系列环节。结合本单位当年全部预算收入、财政拨款收入及支出等,对全口径的资金收入、支出和预算管理、资产管理等工作进行的全面总结，通过编制部门决算报表,对本单位全年的资金管理、单位履行机构职能和受托责任等进行系统的思考检查,分析预算执行中的得失,以推动单位加强内部管理,制定适应本单位的内控制度以促进发展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zh-CN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zh-CN" w:eastAsia="zh-CN"/>
        </w:rPr>
        <w:t>年预算编制情况在县财政部门批复后，及时在黑水县政务信息公开网站上对外公开，接受社会监督。202</w:t>
      </w:r>
      <w:r>
        <w:rPr>
          <w:rFonts w:hint="eastAsia" w:ascii="仿宋_GB2312" w:hAnsi="仿宋_GB2312" w:cs="仿宋_GB2312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zh-CN" w:eastAsia="zh-CN"/>
        </w:rPr>
        <w:t>年决算待县财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zh-CN" w:eastAsia="zh-CN"/>
        </w:rPr>
        <w:t>政部门批复后公开。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320" w:firstLineChars="1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按照国家政策法规规定，结合本部门的实际情况，建立健全了财务管理制度和约束机制，依法、有效地使用财政资金，提</w:t>
      </w:r>
      <w:r>
        <w:rPr>
          <w:rFonts w:hint="eastAsia" w:ascii="仿宋_GB2312" w:hAnsi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财政资金使用效率，合理分配人、财、物，完成了部门职能目标，实现了较高的工作效率和支出绩效。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整体绩效评价得分</w:t>
      </w:r>
      <w:r>
        <w:rPr>
          <w:rFonts w:hint="eastAsia" w:ascii="仿宋_GB2312" w:hAnsi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96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分，评价结果为良好</w:t>
      </w:r>
    </w:p>
    <w:p>
      <w:pPr>
        <w:pStyle w:val="2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leftChars="0" w:firstLine="642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eastAsia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存在问题</w:t>
      </w:r>
    </w:p>
    <w:p>
      <w:pPr>
        <w:pStyle w:val="2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预算编制的准确性有待加强，因编制预算时间与具体工作安排时间存在差异，有些无法预计的项目支出,需要在年度中间进行预算追加和调整。</w:t>
      </w:r>
    </w:p>
    <w:p>
      <w:pPr>
        <w:pStyle w:val="2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642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shd w:val="clear" w:fill="FFFFFF"/>
          <w:lang w:val="zh-CN" w:eastAsia="zh-CN" w:bidi="ar-SA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 w:eastAsia="zh-CN"/>
        </w:rPr>
        <w:t>改进建议</w:t>
      </w:r>
      <w:bookmarkStart w:id="0" w:name="_Hlk110546638"/>
    </w:p>
    <w:p>
      <w:pPr>
        <w:pStyle w:val="2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40" w:lineRule="exact"/>
        <w:ind w:firstLine="963" w:firstLineChars="3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进一步深入学习贯彻落实《中华人民共和国预算法》，加强预算管理，建立健全全面规范、公开透明的预算制度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进一步加强预算编制，早部署早谋划，提高预算编制的精准性，严格预算调整，项目实施分类管理，明确经费保障范围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；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三是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进一步重视预算的编制工作，提高预算编制的精确度，提高财政资金使用效率，尽量减少预算执行调整、结转和结余注销的情形。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bookmarkEnd w:id="0"/>
    <w:p>
      <w:pPr>
        <w:pStyle w:val="2"/>
        <w:ind w:firstLine="4870" w:firstLineChars="1522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>
      <w:pPr>
        <w:pStyle w:val="2"/>
        <w:ind w:firstLine="5507" w:firstLineChars="1721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黑水县卫生健康局</w:t>
      </w:r>
    </w:p>
    <w:p>
      <w:pPr>
        <w:pStyle w:val="2"/>
        <w:ind w:firstLine="5507" w:firstLineChars="1721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2025年8月16日</w:t>
      </w:r>
    </w:p>
    <w:p>
      <w:pPr>
        <w:pStyle w:val="7"/>
        <w:ind w:left="0" w:leftChars="0" w:firstLine="0" w:firstLineChars="0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31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ind w:right="451" w:rightChars="141"/>
                            <w:jc w:val="right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Akgka0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ind w:right="451" w:rightChars="141"/>
                      <w:jc w:val="right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C4BDC7"/>
    <w:multiLevelType w:val="singleLevel"/>
    <w:tmpl w:val="DDC4BDC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F3D045C"/>
    <w:multiLevelType w:val="singleLevel"/>
    <w:tmpl w:val="6F3D045C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kNzNjMTVjMjRkY2M4MDkwZjEwYTZhMmZhNThhN2IifQ=="/>
    <w:docVar w:name="KSO_WPS_MARK_KEY" w:val="93dc7729-76c0-46bb-b675-cfe18d85c067"/>
  </w:docVars>
  <w:rsids>
    <w:rsidRoot w:val="00EC0174"/>
    <w:rsid w:val="00006E4D"/>
    <w:rsid w:val="00021652"/>
    <w:rsid w:val="00030311"/>
    <w:rsid w:val="00030782"/>
    <w:rsid w:val="00030B66"/>
    <w:rsid w:val="0006102A"/>
    <w:rsid w:val="00065B0F"/>
    <w:rsid w:val="00065E7E"/>
    <w:rsid w:val="000820BB"/>
    <w:rsid w:val="0008241B"/>
    <w:rsid w:val="00092280"/>
    <w:rsid w:val="00097FAE"/>
    <w:rsid w:val="000A3233"/>
    <w:rsid w:val="000A7CE3"/>
    <w:rsid w:val="000B04D6"/>
    <w:rsid w:val="000B15CE"/>
    <w:rsid w:val="000C40C6"/>
    <w:rsid w:val="000C79C1"/>
    <w:rsid w:val="000D208A"/>
    <w:rsid w:val="000E037E"/>
    <w:rsid w:val="000F659A"/>
    <w:rsid w:val="000F77B0"/>
    <w:rsid w:val="0010235D"/>
    <w:rsid w:val="00103A47"/>
    <w:rsid w:val="00106D4D"/>
    <w:rsid w:val="001119A2"/>
    <w:rsid w:val="001221D6"/>
    <w:rsid w:val="0012510A"/>
    <w:rsid w:val="00125F67"/>
    <w:rsid w:val="001261AE"/>
    <w:rsid w:val="001348A4"/>
    <w:rsid w:val="0014117C"/>
    <w:rsid w:val="00146FE8"/>
    <w:rsid w:val="0014767B"/>
    <w:rsid w:val="00147AED"/>
    <w:rsid w:val="00177AAF"/>
    <w:rsid w:val="00183850"/>
    <w:rsid w:val="00184D9F"/>
    <w:rsid w:val="001A4749"/>
    <w:rsid w:val="001A4842"/>
    <w:rsid w:val="001A5833"/>
    <w:rsid w:val="001C2158"/>
    <w:rsid w:val="001C51F2"/>
    <w:rsid w:val="001C73AB"/>
    <w:rsid w:val="001D2EA4"/>
    <w:rsid w:val="001F47CE"/>
    <w:rsid w:val="001F5776"/>
    <w:rsid w:val="0020620D"/>
    <w:rsid w:val="002069BC"/>
    <w:rsid w:val="002069EB"/>
    <w:rsid w:val="002201B0"/>
    <w:rsid w:val="00220900"/>
    <w:rsid w:val="0022307E"/>
    <w:rsid w:val="00224D05"/>
    <w:rsid w:val="002323A3"/>
    <w:rsid w:val="00236EF7"/>
    <w:rsid w:val="0024058A"/>
    <w:rsid w:val="002410C0"/>
    <w:rsid w:val="00252894"/>
    <w:rsid w:val="00253FA6"/>
    <w:rsid w:val="00254728"/>
    <w:rsid w:val="002550E7"/>
    <w:rsid w:val="002558D4"/>
    <w:rsid w:val="002560E2"/>
    <w:rsid w:val="00264CFA"/>
    <w:rsid w:val="00270DD7"/>
    <w:rsid w:val="00276F4A"/>
    <w:rsid w:val="00280BFB"/>
    <w:rsid w:val="00280C88"/>
    <w:rsid w:val="002973A4"/>
    <w:rsid w:val="002A0195"/>
    <w:rsid w:val="002B5B34"/>
    <w:rsid w:val="002B6906"/>
    <w:rsid w:val="002B7215"/>
    <w:rsid w:val="002C0AFD"/>
    <w:rsid w:val="002C59D0"/>
    <w:rsid w:val="002D1A18"/>
    <w:rsid w:val="002D6C79"/>
    <w:rsid w:val="002E1104"/>
    <w:rsid w:val="002E3FDD"/>
    <w:rsid w:val="00300EF4"/>
    <w:rsid w:val="00301353"/>
    <w:rsid w:val="00305FF6"/>
    <w:rsid w:val="00307568"/>
    <w:rsid w:val="00311506"/>
    <w:rsid w:val="00316ADB"/>
    <w:rsid w:val="00317623"/>
    <w:rsid w:val="00335F67"/>
    <w:rsid w:val="003361E9"/>
    <w:rsid w:val="00350A65"/>
    <w:rsid w:val="00361C85"/>
    <w:rsid w:val="00371352"/>
    <w:rsid w:val="00376753"/>
    <w:rsid w:val="0038541D"/>
    <w:rsid w:val="00387818"/>
    <w:rsid w:val="00391A13"/>
    <w:rsid w:val="00391FD0"/>
    <w:rsid w:val="003A44FC"/>
    <w:rsid w:val="003B3299"/>
    <w:rsid w:val="003D10A2"/>
    <w:rsid w:val="003D33B8"/>
    <w:rsid w:val="003D624D"/>
    <w:rsid w:val="003D719A"/>
    <w:rsid w:val="003F5EB7"/>
    <w:rsid w:val="003F7FE2"/>
    <w:rsid w:val="004004E7"/>
    <w:rsid w:val="00416E1A"/>
    <w:rsid w:val="00426A3F"/>
    <w:rsid w:val="004277D4"/>
    <w:rsid w:val="00461638"/>
    <w:rsid w:val="004706FA"/>
    <w:rsid w:val="00474D8D"/>
    <w:rsid w:val="00475CCD"/>
    <w:rsid w:val="00477266"/>
    <w:rsid w:val="004811BC"/>
    <w:rsid w:val="004838F2"/>
    <w:rsid w:val="00486492"/>
    <w:rsid w:val="00492CF6"/>
    <w:rsid w:val="004A4C9D"/>
    <w:rsid w:val="004C2078"/>
    <w:rsid w:val="004C228F"/>
    <w:rsid w:val="004E752F"/>
    <w:rsid w:val="004F1E37"/>
    <w:rsid w:val="00515198"/>
    <w:rsid w:val="00521C44"/>
    <w:rsid w:val="005274E1"/>
    <w:rsid w:val="00531DDF"/>
    <w:rsid w:val="00535FA6"/>
    <w:rsid w:val="00542AB7"/>
    <w:rsid w:val="0055358D"/>
    <w:rsid w:val="005540C8"/>
    <w:rsid w:val="00555809"/>
    <w:rsid w:val="00562165"/>
    <w:rsid w:val="005756AF"/>
    <w:rsid w:val="00575A4A"/>
    <w:rsid w:val="00591B6F"/>
    <w:rsid w:val="005A1DAF"/>
    <w:rsid w:val="005C17C8"/>
    <w:rsid w:val="005C2098"/>
    <w:rsid w:val="005C2E6C"/>
    <w:rsid w:val="005D0CCF"/>
    <w:rsid w:val="005D1C01"/>
    <w:rsid w:val="005E297D"/>
    <w:rsid w:val="005E3F12"/>
    <w:rsid w:val="005F627E"/>
    <w:rsid w:val="0061652E"/>
    <w:rsid w:val="006205E9"/>
    <w:rsid w:val="00622D0B"/>
    <w:rsid w:val="006270DA"/>
    <w:rsid w:val="00630B75"/>
    <w:rsid w:val="00634DFF"/>
    <w:rsid w:val="00635337"/>
    <w:rsid w:val="0064265B"/>
    <w:rsid w:val="0064519C"/>
    <w:rsid w:val="0065082E"/>
    <w:rsid w:val="006512D0"/>
    <w:rsid w:val="006560A3"/>
    <w:rsid w:val="00656301"/>
    <w:rsid w:val="006600C9"/>
    <w:rsid w:val="006701CC"/>
    <w:rsid w:val="00671F58"/>
    <w:rsid w:val="006762A4"/>
    <w:rsid w:val="006900E7"/>
    <w:rsid w:val="006A00A8"/>
    <w:rsid w:val="006A482D"/>
    <w:rsid w:val="006B11E0"/>
    <w:rsid w:val="006B386A"/>
    <w:rsid w:val="006B7CB4"/>
    <w:rsid w:val="006C24D3"/>
    <w:rsid w:val="006C7917"/>
    <w:rsid w:val="006E51AE"/>
    <w:rsid w:val="0070081F"/>
    <w:rsid w:val="007018F5"/>
    <w:rsid w:val="00710897"/>
    <w:rsid w:val="00712F45"/>
    <w:rsid w:val="00734305"/>
    <w:rsid w:val="007370E1"/>
    <w:rsid w:val="007732A1"/>
    <w:rsid w:val="00774C4A"/>
    <w:rsid w:val="00782BBB"/>
    <w:rsid w:val="007A0690"/>
    <w:rsid w:val="007A078F"/>
    <w:rsid w:val="007B34D4"/>
    <w:rsid w:val="007C0633"/>
    <w:rsid w:val="007D086C"/>
    <w:rsid w:val="007F1BE1"/>
    <w:rsid w:val="007F707F"/>
    <w:rsid w:val="007F794C"/>
    <w:rsid w:val="007F7AC9"/>
    <w:rsid w:val="00803B42"/>
    <w:rsid w:val="008073EF"/>
    <w:rsid w:val="0081095C"/>
    <w:rsid w:val="00810C41"/>
    <w:rsid w:val="008212FF"/>
    <w:rsid w:val="0082593B"/>
    <w:rsid w:val="00827537"/>
    <w:rsid w:val="008468EA"/>
    <w:rsid w:val="00867140"/>
    <w:rsid w:val="00881134"/>
    <w:rsid w:val="008904F0"/>
    <w:rsid w:val="008B2F27"/>
    <w:rsid w:val="008B4A72"/>
    <w:rsid w:val="008B585E"/>
    <w:rsid w:val="008E6C0C"/>
    <w:rsid w:val="008F1E63"/>
    <w:rsid w:val="008F3052"/>
    <w:rsid w:val="00901E19"/>
    <w:rsid w:val="009214F7"/>
    <w:rsid w:val="00921CD7"/>
    <w:rsid w:val="00940EB6"/>
    <w:rsid w:val="00944771"/>
    <w:rsid w:val="009601FC"/>
    <w:rsid w:val="00965426"/>
    <w:rsid w:val="0096654A"/>
    <w:rsid w:val="009711E4"/>
    <w:rsid w:val="00971572"/>
    <w:rsid w:val="00981E55"/>
    <w:rsid w:val="00986CEF"/>
    <w:rsid w:val="00987212"/>
    <w:rsid w:val="009A0E5F"/>
    <w:rsid w:val="009F1AF3"/>
    <w:rsid w:val="009F233E"/>
    <w:rsid w:val="00A024AB"/>
    <w:rsid w:val="00A050A5"/>
    <w:rsid w:val="00A05B8B"/>
    <w:rsid w:val="00A1372F"/>
    <w:rsid w:val="00A170EC"/>
    <w:rsid w:val="00A217B3"/>
    <w:rsid w:val="00A23D04"/>
    <w:rsid w:val="00A277D9"/>
    <w:rsid w:val="00A30CEB"/>
    <w:rsid w:val="00A31318"/>
    <w:rsid w:val="00A5432A"/>
    <w:rsid w:val="00A55F8A"/>
    <w:rsid w:val="00A9670E"/>
    <w:rsid w:val="00AA1423"/>
    <w:rsid w:val="00AB7996"/>
    <w:rsid w:val="00AC43C3"/>
    <w:rsid w:val="00AE2EAD"/>
    <w:rsid w:val="00AF77BE"/>
    <w:rsid w:val="00B11CEE"/>
    <w:rsid w:val="00B23428"/>
    <w:rsid w:val="00B264BF"/>
    <w:rsid w:val="00B42E74"/>
    <w:rsid w:val="00B46874"/>
    <w:rsid w:val="00B50E8F"/>
    <w:rsid w:val="00B51151"/>
    <w:rsid w:val="00B523E4"/>
    <w:rsid w:val="00B52B4F"/>
    <w:rsid w:val="00B6108C"/>
    <w:rsid w:val="00B649AD"/>
    <w:rsid w:val="00B64B9C"/>
    <w:rsid w:val="00B67A3E"/>
    <w:rsid w:val="00B735CC"/>
    <w:rsid w:val="00B82C95"/>
    <w:rsid w:val="00B83F87"/>
    <w:rsid w:val="00B84DFD"/>
    <w:rsid w:val="00BB4E38"/>
    <w:rsid w:val="00BC3879"/>
    <w:rsid w:val="00BD0E0D"/>
    <w:rsid w:val="00BD41BC"/>
    <w:rsid w:val="00BD55AD"/>
    <w:rsid w:val="00BE0305"/>
    <w:rsid w:val="00BF15F0"/>
    <w:rsid w:val="00BF7DF9"/>
    <w:rsid w:val="00C03559"/>
    <w:rsid w:val="00C05395"/>
    <w:rsid w:val="00C22AD7"/>
    <w:rsid w:val="00C272C1"/>
    <w:rsid w:val="00C32A68"/>
    <w:rsid w:val="00C34282"/>
    <w:rsid w:val="00C35350"/>
    <w:rsid w:val="00C3564B"/>
    <w:rsid w:val="00C53721"/>
    <w:rsid w:val="00C64D2E"/>
    <w:rsid w:val="00C70F97"/>
    <w:rsid w:val="00C7497C"/>
    <w:rsid w:val="00C757A2"/>
    <w:rsid w:val="00C75966"/>
    <w:rsid w:val="00C76577"/>
    <w:rsid w:val="00C80225"/>
    <w:rsid w:val="00C81349"/>
    <w:rsid w:val="00C93139"/>
    <w:rsid w:val="00CA08A0"/>
    <w:rsid w:val="00CA32D2"/>
    <w:rsid w:val="00CA4E07"/>
    <w:rsid w:val="00CA737D"/>
    <w:rsid w:val="00CB1EF5"/>
    <w:rsid w:val="00CC05D4"/>
    <w:rsid w:val="00CC7166"/>
    <w:rsid w:val="00CF5275"/>
    <w:rsid w:val="00CF6136"/>
    <w:rsid w:val="00D0023D"/>
    <w:rsid w:val="00D006C6"/>
    <w:rsid w:val="00D14A65"/>
    <w:rsid w:val="00D162B9"/>
    <w:rsid w:val="00D251E2"/>
    <w:rsid w:val="00D254F4"/>
    <w:rsid w:val="00D263A7"/>
    <w:rsid w:val="00D26B5D"/>
    <w:rsid w:val="00D33159"/>
    <w:rsid w:val="00D33A19"/>
    <w:rsid w:val="00D355B5"/>
    <w:rsid w:val="00D43DC3"/>
    <w:rsid w:val="00D51791"/>
    <w:rsid w:val="00D5281E"/>
    <w:rsid w:val="00D6531B"/>
    <w:rsid w:val="00D6612D"/>
    <w:rsid w:val="00D71AD9"/>
    <w:rsid w:val="00D73C02"/>
    <w:rsid w:val="00D872ED"/>
    <w:rsid w:val="00D913C6"/>
    <w:rsid w:val="00DA0236"/>
    <w:rsid w:val="00DA5D51"/>
    <w:rsid w:val="00DA5E29"/>
    <w:rsid w:val="00DA61CA"/>
    <w:rsid w:val="00DB66BB"/>
    <w:rsid w:val="00DB73AF"/>
    <w:rsid w:val="00DC2865"/>
    <w:rsid w:val="00DD0894"/>
    <w:rsid w:val="00DE1888"/>
    <w:rsid w:val="00DF1250"/>
    <w:rsid w:val="00DF6EF7"/>
    <w:rsid w:val="00E05454"/>
    <w:rsid w:val="00E074C3"/>
    <w:rsid w:val="00E23329"/>
    <w:rsid w:val="00E24D6D"/>
    <w:rsid w:val="00E341B2"/>
    <w:rsid w:val="00E42633"/>
    <w:rsid w:val="00E5699E"/>
    <w:rsid w:val="00E570E1"/>
    <w:rsid w:val="00E72773"/>
    <w:rsid w:val="00E76739"/>
    <w:rsid w:val="00E81946"/>
    <w:rsid w:val="00E82BB7"/>
    <w:rsid w:val="00E86D13"/>
    <w:rsid w:val="00E936C2"/>
    <w:rsid w:val="00E95346"/>
    <w:rsid w:val="00EA0CEF"/>
    <w:rsid w:val="00EA2E2A"/>
    <w:rsid w:val="00EB79D2"/>
    <w:rsid w:val="00EC0174"/>
    <w:rsid w:val="00ED3EEB"/>
    <w:rsid w:val="00ED5749"/>
    <w:rsid w:val="00ED5FA3"/>
    <w:rsid w:val="00ED68C4"/>
    <w:rsid w:val="00ED6A4E"/>
    <w:rsid w:val="00ED72EA"/>
    <w:rsid w:val="00EE3A4F"/>
    <w:rsid w:val="00EF10C3"/>
    <w:rsid w:val="00EF3BD2"/>
    <w:rsid w:val="00F16BCE"/>
    <w:rsid w:val="00F45DA1"/>
    <w:rsid w:val="00F5267B"/>
    <w:rsid w:val="00F53E8B"/>
    <w:rsid w:val="00F663FD"/>
    <w:rsid w:val="00F743B0"/>
    <w:rsid w:val="00F82409"/>
    <w:rsid w:val="00F8264F"/>
    <w:rsid w:val="00F833E9"/>
    <w:rsid w:val="00F84580"/>
    <w:rsid w:val="00F873DA"/>
    <w:rsid w:val="00F95982"/>
    <w:rsid w:val="00FA006C"/>
    <w:rsid w:val="00FA190E"/>
    <w:rsid w:val="00FA288B"/>
    <w:rsid w:val="00FA2997"/>
    <w:rsid w:val="00FA2C71"/>
    <w:rsid w:val="00FB3345"/>
    <w:rsid w:val="00FD0228"/>
    <w:rsid w:val="00FD3BB7"/>
    <w:rsid w:val="00FE0D93"/>
    <w:rsid w:val="00FF2572"/>
    <w:rsid w:val="00FF32AD"/>
    <w:rsid w:val="042F17FD"/>
    <w:rsid w:val="0A8C557B"/>
    <w:rsid w:val="0D864F67"/>
    <w:rsid w:val="0DC31556"/>
    <w:rsid w:val="1A3D6143"/>
    <w:rsid w:val="1C013801"/>
    <w:rsid w:val="1DFD8D3B"/>
    <w:rsid w:val="1FB79DC9"/>
    <w:rsid w:val="1FBFC3F2"/>
    <w:rsid w:val="1FFFE033"/>
    <w:rsid w:val="2132066C"/>
    <w:rsid w:val="21B043B0"/>
    <w:rsid w:val="22002EAD"/>
    <w:rsid w:val="22215A14"/>
    <w:rsid w:val="25385C6C"/>
    <w:rsid w:val="27F352A6"/>
    <w:rsid w:val="2A4F7A69"/>
    <w:rsid w:val="2D527252"/>
    <w:rsid w:val="2DDC1740"/>
    <w:rsid w:val="2EAE55F2"/>
    <w:rsid w:val="2EDF4302"/>
    <w:rsid w:val="2EFE1A04"/>
    <w:rsid w:val="33216627"/>
    <w:rsid w:val="35BBF80F"/>
    <w:rsid w:val="361C6417"/>
    <w:rsid w:val="36FF765B"/>
    <w:rsid w:val="3B317313"/>
    <w:rsid w:val="3B736F08"/>
    <w:rsid w:val="3BE3D531"/>
    <w:rsid w:val="3D431A40"/>
    <w:rsid w:val="3EFF42CA"/>
    <w:rsid w:val="3F6FCA38"/>
    <w:rsid w:val="3FD5AF3D"/>
    <w:rsid w:val="3FFED8BE"/>
    <w:rsid w:val="3FFF43BB"/>
    <w:rsid w:val="41DC731C"/>
    <w:rsid w:val="433DCF8E"/>
    <w:rsid w:val="45FF973D"/>
    <w:rsid w:val="47550EBA"/>
    <w:rsid w:val="49A925BC"/>
    <w:rsid w:val="4BF7E09D"/>
    <w:rsid w:val="4C6D660B"/>
    <w:rsid w:val="4FDA1433"/>
    <w:rsid w:val="4FFFFC3E"/>
    <w:rsid w:val="53BB74FC"/>
    <w:rsid w:val="55897771"/>
    <w:rsid w:val="55FDDF92"/>
    <w:rsid w:val="55FFBC03"/>
    <w:rsid w:val="56CDA72E"/>
    <w:rsid w:val="576F5916"/>
    <w:rsid w:val="577FDAE2"/>
    <w:rsid w:val="57FBE2C7"/>
    <w:rsid w:val="5B335734"/>
    <w:rsid w:val="5B7F322F"/>
    <w:rsid w:val="5BCAB023"/>
    <w:rsid w:val="5DDA9B94"/>
    <w:rsid w:val="5EAB810D"/>
    <w:rsid w:val="5EFF9DA6"/>
    <w:rsid w:val="5F710DB4"/>
    <w:rsid w:val="5F7751B9"/>
    <w:rsid w:val="5F9F7232"/>
    <w:rsid w:val="5F9F9588"/>
    <w:rsid w:val="5FBD32D2"/>
    <w:rsid w:val="5FD450B0"/>
    <w:rsid w:val="5FEF60CD"/>
    <w:rsid w:val="5FFB203D"/>
    <w:rsid w:val="5FFB8CF9"/>
    <w:rsid w:val="63DBAF21"/>
    <w:rsid w:val="6636451A"/>
    <w:rsid w:val="67DE80AA"/>
    <w:rsid w:val="697E3B47"/>
    <w:rsid w:val="69B64C0D"/>
    <w:rsid w:val="69BF132E"/>
    <w:rsid w:val="6BFEE5F3"/>
    <w:rsid w:val="6CAFF34E"/>
    <w:rsid w:val="6CD3866A"/>
    <w:rsid w:val="6CFFCF4F"/>
    <w:rsid w:val="6DFFF8B6"/>
    <w:rsid w:val="6E9FE641"/>
    <w:rsid w:val="6EEDE807"/>
    <w:rsid w:val="6EEE4BE4"/>
    <w:rsid w:val="6EF65E9C"/>
    <w:rsid w:val="6F3D9197"/>
    <w:rsid w:val="6FAB3EC4"/>
    <w:rsid w:val="6FB6AF41"/>
    <w:rsid w:val="6FD894C8"/>
    <w:rsid w:val="6FE36A9E"/>
    <w:rsid w:val="6FEFB2D1"/>
    <w:rsid w:val="6FFF97E6"/>
    <w:rsid w:val="71397E03"/>
    <w:rsid w:val="71FB5B08"/>
    <w:rsid w:val="72476777"/>
    <w:rsid w:val="73FB87D9"/>
    <w:rsid w:val="75EF0FBA"/>
    <w:rsid w:val="7607C293"/>
    <w:rsid w:val="76DFA4E8"/>
    <w:rsid w:val="778720BD"/>
    <w:rsid w:val="77A7D615"/>
    <w:rsid w:val="77FF366A"/>
    <w:rsid w:val="77FF8C96"/>
    <w:rsid w:val="77FFA8F9"/>
    <w:rsid w:val="7976604B"/>
    <w:rsid w:val="79F36043"/>
    <w:rsid w:val="79F3BC78"/>
    <w:rsid w:val="7A5B6CAA"/>
    <w:rsid w:val="7A9314AC"/>
    <w:rsid w:val="7B4F6850"/>
    <w:rsid w:val="7BABD5C4"/>
    <w:rsid w:val="7BB12055"/>
    <w:rsid w:val="7BBFADBA"/>
    <w:rsid w:val="7BFF492D"/>
    <w:rsid w:val="7C631402"/>
    <w:rsid w:val="7C978C63"/>
    <w:rsid w:val="7CA35AD0"/>
    <w:rsid w:val="7CDF8BC3"/>
    <w:rsid w:val="7CEB72A5"/>
    <w:rsid w:val="7D18750B"/>
    <w:rsid w:val="7DDFDC39"/>
    <w:rsid w:val="7E140770"/>
    <w:rsid w:val="7E5D92FB"/>
    <w:rsid w:val="7ED045EA"/>
    <w:rsid w:val="7EF51D64"/>
    <w:rsid w:val="7EFFF488"/>
    <w:rsid w:val="7F574612"/>
    <w:rsid w:val="7F7F4920"/>
    <w:rsid w:val="7FB7C299"/>
    <w:rsid w:val="7FBFFB92"/>
    <w:rsid w:val="7FD76ACB"/>
    <w:rsid w:val="7FD89DA2"/>
    <w:rsid w:val="7FDBD805"/>
    <w:rsid w:val="7FDEC14D"/>
    <w:rsid w:val="7FDF8B76"/>
    <w:rsid w:val="7FDFE693"/>
    <w:rsid w:val="7FEFB5DD"/>
    <w:rsid w:val="7FEFBBD9"/>
    <w:rsid w:val="7FFD6A57"/>
    <w:rsid w:val="7FFDA7EC"/>
    <w:rsid w:val="7FFDEA1E"/>
    <w:rsid w:val="7FFEC1F6"/>
    <w:rsid w:val="7FFF2F52"/>
    <w:rsid w:val="8F7B4EC8"/>
    <w:rsid w:val="8FBD4480"/>
    <w:rsid w:val="8FF7AE96"/>
    <w:rsid w:val="955F5184"/>
    <w:rsid w:val="9F6311D7"/>
    <w:rsid w:val="9FF54399"/>
    <w:rsid w:val="9FFF47CD"/>
    <w:rsid w:val="A46D76C1"/>
    <w:rsid w:val="A7FF43C2"/>
    <w:rsid w:val="ABF66286"/>
    <w:rsid w:val="AD9E3F04"/>
    <w:rsid w:val="ADA70464"/>
    <w:rsid w:val="AFE97CD3"/>
    <w:rsid w:val="B1BF5C63"/>
    <w:rsid w:val="B1FF3A18"/>
    <w:rsid w:val="B3CDF284"/>
    <w:rsid w:val="B3E8107B"/>
    <w:rsid w:val="B5F66F24"/>
    <w:rsid w:val="B7F5200A"/>
    <w:rsid w:val="BABDA1AA"/>
    <w:rsid w:val="BB1B4BF1"/>
    <w:rsid w:val="BBE5FE68"/>
    <w:rsid w:val="BBFEB9C1"/>
    <w:rsid w:val="BDF7406A"/>
    <w:rsid w:val="BE6FD8DB"/>
    <w:rsid w:val="BEEF57C2"/>
    <w:rsid w:val="BF6D5596"/>
    <w:rsid w:val="BFBEBB2C"/>
    <w:rsid w:val="BFC68935"/>
    <w:rsid w:val="BFDD0F1D"/>
    <w:rsid w:val="BFDDD096"/>
    <w:rsid w:val="C5B3F496"/>
    <w:rsid w:val="C96F3E49"/>
    <w:rsid w:val="CBBF14F3"/>
    <w:rsid w:val="CBE5DCF2"/>
    <w:rsid w:val="CCFCC735"/>
    <w:rsid w:val="CEEB8A74"/>
    <w:rsid w:val="D37FB642"/>
    <w:rsid w:val="D6FFB9AA"/>
    <w:rsid w:val="D7F99798"/>
    <w:rsid w:val="D7FF400C"/>
    <w:rsid w:val="DBED1CD4"/>
    <w:rsid w:val="DBFBB328"/>
    <w:rsid w:val="DDD7453A"/>
    <w:rsid w:val="DE3E1FD7"/>
    <w:rsid w:val="DFBE1B79"/>
    <w:rsid w:val="DFCF1FEC"/>
    <w:rsid w:val="DFE75A3D"/>
    <w:rsid w:val="DFED2117"/>
    <w:rsid w:val="DFEF594B"/>
    <w:rsid w:val="DFF3F960"/>
    <w:rsid w:val="DFFE0D61"/>
    <w:rsid w:val="E35C4B3C"/>
    <w:rsid w:val="E3A781CA"/>
    <w:rsid w:val="E5DFAB50"/>
    <w:rsid w:val="E6FC647F"/>
    <w:rsid w:val="EBFBC8F1"/>
    <w:rsid w:val="EBFDF757"/>
    <w:rsid w:val="ED758B5D"/>
    <w:rsid w:val="ED76A08D"/>
    <w:rsid w:val="EDBDD81F"/>
    <w:rsid w:val="EDFDB542"/>
    <w:rsid w:val="EF0FCF96"/>
    <w:rsid w:val="EF95E20F"/>
    <w:rsid w:val="EFAF7DFF"/>
    <w:rsid w:val="EFAFB283"/>
    <w:rsid w:val="EFBDA38B"/>
    <w:rsid w:val="EFEE9A76"/>
    <w:rsid w:val="F1BF6FBC"/>
    <w:rsid w:val="F1F9A9B5"/>
    <w:rsid w:val="F3779FC2"/>
    <w:rsid w:val="F3D5C239"/>
    <w:rsid w:val="F3F37DF4"/>
    <w:rsid w:val="F3F96DE6"/>
    <w:rsid w:val="F3FBC54A"/>
    <w:rsid w:val="F47BB68A"/>
    <w:rsid w:val="F47F523E"/>
    <w:rsid w:val="F69FD6B0"/>
    <w:rsid w:val="F7E7F921"/>
    <w:rsid w:val="F7F7AC6A"/>
    <w:rsid w:val="F7FD93B9"/>
    <w:rsid w:val="FABF64A5"/>
    <w:rsid w:val="FABF7411"/>
    <w:rsid w:val="FBA53981"/>
    <w:rsid w:val="FBE4457E"/>
    <w:rsid w:val="FBFC558A"/>
    <w:rsid w:val="FBFF71AC"/>
    <w:rsid w:val="FBFFEA2B"/>
    <w:rsid w:val="FCCB27AA"/>
    <w:rsid w:val="FCFF8F4B"/>
    <w:rsid w:val="FD9595AD"/>
    <w:rsid w:val="FDF9DD9A"/>
    <w:rsid w:val="FDFF2821"/>
    <w:rsid w:val="FDFFA696"/>
    <w:rsid w:val="FE7FB02B"/>
    <w:rsid w:val="FEBD0232"/>
    <w:rsid w:val="FED5A77F"/>
    <w:rsid w:val="FEDFD193"/>
    <w:rsid w:val="FEE7097E"/>
    <w:rsid w:val="FEEF8230"/>
    <w:rsid w:val="FEF1F1BE"/>
    <w:rsid w:val="FEF99316"/>
    <w:rsid w:val="FEFB20CB"/>
    <w:rsid w:val="FEFD95B3"/>
    <w:rsid w:val="FEFE4E93"/>
    <w:rsid w:val="FEFFA483"/>
    <w:rsid w:val="FF29B32D"/>
    <w:rsid w:val="FF2E6944"/>
    <w:rsid w:val="FF5F9D52"/>
    <w:rsid w:val="FF7A0B6A"/>
    <w:rsid w:val="FF7B6DC2"/>
    <w:rsid w:val="FF7FFF75"/>
    <w:rsid w:val="FF921F59"/>
    <w:rsid w:val="FFBB1E09"/>
    <w:rsid w:val="FFBB6A0C"/>
    <w:rsid w:val="FFBD894B"/>
    <w:rsid w:val="FFBF33B3"/>
    <w:rsid w:val="FFD09362"/>
    <w:rsid w:val="FFD1DA08"/>
    <w:rsid w:val="FFD7DEDD"/>
    <w:rsid w:val="FFDE369F"/>
    <w:rsid w:val="FFEF98C9"/>
    <w:rsid w:val="FFEFCE62"/>
    <w:rsid w:val="FFF973B0"/>
    <w:rsid w:val="FFFB4F05"/>
    <w:rsid w:val="FFFEC8F5"/>
    <w:rsid w:val="FFFEF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before="156" w:beforeLines="50" w:line="360" w:lineRule="auto"/>
      <w:ind w:firstLine="480" w:firstLineChars="200"/>
    </w:pPr>
    <w:rPr>
      <w:rFonts w:eastAsia="仿宋"/>
      <w:sz w:val="24"/>
      <w:szCs w:val="23"/>
      <w:lang w:eastAsia="ar-SA"/>
    </w:rPr>
  </w:style>
  <w:style w:type="paragraph" w:styleId="4">
    <w:name w:val="Document Map"/>
    <w:basedOn w:val="1"/>
    <w:link w:val="20"/>
    <w:qFormat/>
    <w:uiPriority w:val="0"/>
    <w:rPr>
      <w:rFonts w:ascii="宋体" w:eastAsia="宋体"/>
      <w:sz w:val="18"/>
      <w:szCs w:val="18"/>
    </w:r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next w:val="7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7">
    <w:name w:val="Body Text First Indent 2"/>
    <w:basedOn w:val="6"/>
    <w:next w:val="1"/>
    <w:unhideWhenUsed/>
    <w:qFormat/>
    <w:uiPriority w:val="99"/>
    <w:pPr>
      <w:ind w:firstLine="420" w:firstLineChars="2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paragraph" w:customStyle="1" w:styleId="17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8">
    <w:name w:val="四号正文"/>
    <w:basedOn w:val="1"/>
    <w:link w:val="19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9">
    <w:name w:val="四号正文 Char"/>
    <w:basedOn w:val="15"/>
    <w:link w:val="18"/>
    <w:qFormat/>
    <w:uiPriority w:val="0"/>
    <w:rPr>
      <w:rFonts w:ascii="??" w:hAnsi="??" w:eastAsia="宋体" w:cs="宋体"/>
      <w:color w:val="000000"/>
      <w:sz w:val="28"/>
      <w:szCs w:val="21"/>
      <w:lang w:val="en-US" w:eastAsia="zh-CN" w:bidi="ar-SA"/>
    </w:rPr>
  </w:style>
  <w:style w:type="character" w:customStyle="1" w:styleId="20">
    <w:name w:val="文档结构图 Char"/>
    <w:basedOn w:val="15"/>
    <w:link w:val="4"/>
    <w:qFormat/>
    <w:uiPriority w:val="0"/>
    <w:rPr>
      <w:rFonts w:ascii="宋体"/>
      <w:kern w:val="2"/>
      <w:sz w:val="18"/>
      <w:szCs w:val="18"/>
    </w:rPr>
  </w:style>
  <w:style w:type="paragraph" w:customStyle="1" w:styleId="21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2">
    <w:name w:val="页脚 Char"/>
    <w:basedOn w:val="15"/>
    <w:link w:val="9"/>
    <w:qFormat/>
    <w:uiPriority w:val="99"/>
    <w:rPr>
      <w:kern w:val="2"/>
      <w:sz w:val="18"/>
      <w:szCs w:val="18"/>
    </w:rPr>
  </w:style>
  <w:style w:type="character" w:customStyle="1" w:styleId="23">
    <w:name w:val="font3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51"/>
    <w:basedOn w:val="15"/>
    <w:qFormat/>
    <w:uiPriority w:val="0"/>
    <w:rPr>
      <w:rFonts w:hint="default"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5">
    <w:name w:val="font01"/>
    <w:basedOn w:val="15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font41"/>
    <w:basedOn w:val="15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paragraph" w:customStyle="1" w:styleId="27">
    <w:name w:val="Normalec0a80fc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BodyText1I2"/>
    <w:basedOn w:val="29"/>
    <w:qFormat/>
    <w:uiPriority w:val="0"/>
    <w:pPr>
      <w:widowControl/>
      <w:spacing w:after="0" w:line="240" w:lineRule="auto"/>
      <w:ind w:left="0" w:leftChars="0" w:firstLine="200" w:firstLineChars="200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2"/>
      <w:lang w:val="en-US" w:eastAsia="zh-CN" w:bidi="ar-SA"/>
    </w:rPr>
  </w:style>
  <w:style w:type="paragraph" w:customStyle="1" w:styleId="29">
    <w:name w:val="BodyTextIndent"/>
    <w:basedOn w:val="1"/>
    <w:next w:val="28"/>
    <w:qFormat/>
    <w:uiPriority w:val="0"/>
    <w:pPr>
      <w:spacing w:after="120" w:line="240" w:lineRule="auto"/>
      <w:ind w:left="200" w:left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8</Pages>
  <Words>3738</Words>
  <Characters>4013</Characters>
  <Lines>2</Lines>
  <Paragraphs>1</Paragraphs>
  <TotalTime>0</TotalTime>
  <ScaleCrop>false</ScaleCrop>
  <LinksUpToDate>false</LinksUpToDate>
  <CharactersWithSpaces>4017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2019-05-29T03:06:00Z</dcterms:created>
  <dc:creator>陈萍</dc:creator>
  <cp:lastModifiedBy>user</cp:lastModifiedBy>
  <cp:lastPrinted>2016-02-15T16:25:00Z</cp:lastPrinted>
  <dcterms:modified xsi:type="dcterms:W3CDTF">2025-10-14T15:54:50Z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A51A36801428E9B041879466C62AECE8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