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6"/>
          <w:szCs w:val="36"/>
        </w:rPr>
      </w:pPr>
      <w:bookmarkStart w:id="0" w:name="_Toc15396616"/>
      <w:r>
        <w:rPr>
          <w:rFonts w:hint="eastAsia" w:ascii="仿宋_GB2312" w:hAnsi="黑体" w:eastAsia="仿宋_GB2312" w:cs="方正小标宋简体"/>
          <w:b/>
          <w:sz w:val="36"/>
          <w:szCs w:val="36"/>
          <w:lang w:eastAsia="zh-CN"/>
        </w:rPr>
        <w:t>黑水县供销社</w:t>
      </w:r>
      <w:r>
        <w:rPr>
          <w:rFonts w:hint="eastAsia" w:ascii="仿宋_GB2312" w:hAnsi="黑体" w:eastAsia="仿宋_GB2312" w:cs="方正小标宋简体"/>
          <w:b/>
          <w:sz w:val="36"/>
          <w:szCs w:val="36"/>
        </w:rPr>
        <w:t>201</w:t>
      </w:r>
      <w:r>
        <w:rPr>
          <w:rFonts w:hint="eastAsia" w:ascii="仿宋_GB2312" w:hAnsi="黑体" w:eastAsia="仿宋_GB2312" w:cs="方正小标宋简体"/>
          <w:b/>
          <w:sz w:val="36"/>
          <w:szCs w:val="36"/>
          <w:lang w:val="en-US" w:eastAsia="zh-CN"/>
        </w:rPr>
        <w:t>9</w:t>
      </w:r>
      <w:r>
        <w:rPr>
          <w:rFonts w:hint="eastAsia" w:ascii="仿宋_GB2312" w:hAnsi="黑体" w:eastAsia="仿宋_GB2312" w:cs="方正小标宋简体"/>
          <w:b/>
          <w:sz w:val="36"/>
          <w:szCs w:val="36"/>
        </w:rPr>
        <w:t>年部门</w:t>
      </w:r>
    </w:p>
    <w:p>
      <w:pPr>
        <w:spacing w:line="600" w:lineRule="exact"/>
        <w:jc w:val="center"/>
        <w:outlineLvl w:val="0"/>
        <w:rPr>
          <w:rFonts w:ascii="仿宋_GB2312" w:hAnsi="黑体" w:eastAsia="仿宋_GB2312" w:cs="方正小标宋简体"/>
          <w:b/>
          <w:sz w:val="36"/>
          <w:szCs w:val="36"/>
        </w:rPr>
      </w:pPr>
      <w:r>
        <w:rPr>
          <w:rFonts w:hint="eastAsia" w:ascii="仿宋_GB2312" w:hAnsi="黑体" w:eastAsia="仿宋_GB2312" w:cs="方正小标宋简体"/>
          <w:b/>
          <w:sz w:val="36"/>
          <w:szCs w:val="36"/>
        </w:rPr>
        <w:t>整体支出绩效评价报告</w:t>
      </w:r>
      <w:bookmarkEnd w:id="0"/>
    </w:p>
    <w:p>
      <w:pPr>
        <w:spacing w:line="580" w:lineRule="exact"/>
        <w:ind w:firstLine="643" w:firstLineChars="200"/>
        <w:rPr>
          <w:rFonts w:ascii="仿宋_GB2312" w:hAnsi="黑体" w:eastAsia="仿宋_GB2312" w:cs="黑体"/>
          <w:b/>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一、部门（单位）概况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供销社</w:t>
      </w:r>
      <w:r>
        <w:rPr>
          <w:rFonts w:hint="eastAsia" w:ascii="仿宋_GB2312" w:hAnsi="仿宋" w:eastAsia="仿宋_GB2312" w:cs="仿宋_GB2312"/>
          <w:sz w:val="32"/>
          <w:szCs w:val="32"/>
        </w:rPr>
        <w:t xml:space="preserve">是属于独立核算一级单位。本单位共设置办公室、业务股、基层股、财务股4个股室。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）机构职能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_GB2312"/>
          <w:sz w:val="32"/>
          <w:szCs w:val="32"/>
        </w:rPr>
        <w:t>　宣传贯彻党有关农业、农村经济工作和社会发展的方</w:t>
      </w:r>
      <w:r>
        <w:rPr>
          <w:rFonts w:hint="eastAsia" w:ascii="仿宋_GB2312" w:hAnsi="仿宋_GB2312" w:eastAsia="仿宋_GB2312" w:cs="仿宋_GB2312"/>
          <w:sz w:val="32"/>
          <w:szCs w:val="32"/>
        </w:rPr>
        <w:t xml:space="preserve">针、政策；负责全县农民专业合作社。研究制定全县供销合作社发展规划；指导全县供销合作社的改革和发展，加快体制、机制创新，探索社会主义市场经济条件下合作经济的多种形式。负责对重要农业生产资料、重要农畜产品和政策性商品经营资格审定、质量监督和行业管理及有关救灾物资的组织、储备、调运工作。协调同政府有关部门、社会组织的关系，研究供销合作经济运行中的重大问题；了解、反映供销合作社系统和农牧民群众的意见和要求，维护合作经济组织的合法权益。组织全县供销社系统参与和推进农业产业化经营，加强农畜产品市场调查研究，培育农畜产品市场，组织发展专业合作社、消费合作社等中介服务组织，培育龙头产业，加强商品供求、市场、信息服务体系建设。负责全县农资、烟花爆竹的购销、运输及储存工作，发挥为“三农”服务的纽带作用。  </w:t>
      </w:r>
    </w:p>
    <w:p>
      <w:pPr>
        <w:spacing w:line="580" w:lineRule="exact"/>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360" w:lineRule="auto"/>
        <w:ind w:firstLine="960" w:firstLineChars="300"/>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lang w:eastAsia="zh-CN"/>
        </w:rPr>
        <w:t>黑水县供销社</w:t>
      </w:r>
      <w:r>
        <w:rPr>
          <w:rFonts w:hint="eastAsia" w:ascii="仿宋_GB2312" w:hAnsi="仿宋_GB2312" w:eastAsia="仿宋_GB2312" w:cs="仿宋_GB2312"/>
          <w:color w:val="000000"/>
          <w:kern w:val="0"/>
          <w:sz w:val="32"/>
          <w:szCs w:val="32"/>
        </w:rPr>
        <w:t>总编制</w:t>
      </w:r>
      <w:r>
        <w:rPr>
          <w:rFonts w:hint="eastAsia" w:ascii="仿宋_GB2312" w:hAnsi="仿宋_GB2312" w:eastAsia="仿宋_GB2312" w:cs="仿宋_GB2312"/>
          <w:color w:val="000000"/>
          <w:kern w:val="0"/>
          <w:sz w:val="32"/>
          <w:szCs w:val="32"/>
          <w:u w:val="single"/>
        </w:rPr>
        <w:t xml:space="preserve"> 10</w:t>
      </w:r>
      <w:r>
        <w:rPr>
          <w:rFonts w:hint="eastAsia" w:ascii="仿宋_GB2312" w:hAnsi="仿宋_GB2312" w:eastAsia="仿宋_GB2312" w:cs="仿宋_GB2312"/>
          <w:color w:val="000000"/>
          <w:kern w:val="0"/>
          <w:sz w:val="32"/>
          <w:szCs w:val="32"/>
        </w:rPr>
        <w:t>名,其中:参公编制</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名；其中：行政参公人员</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名。在职人员比上年无变动。</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年度部门财政资金总收入407.01万元；其中当年财政拨款收入：359.31万元，占总收入</w:t>
      </w:r>
      <w:r>
        <w:rPr>
          <w:rFonts w:hint="eastAsia" w:ascii="仿宋_GB2312" w:hAnsi="仿宋" w:eastAsia="仿宋_GB2312" w:cs="仿宋_GB2312"/>
          <w:sz w:val="32"/>
          <w:szCs w:val="32"/>
          <w:lang w:val="en-US" w:eastAsia="zh-CN"/>
        </w:rPr>
        <w:t>88.28</w:t>
      </w:r>
      <w:r>
        <w:rPr>
          <w:rFonts w:hint="eastAsia" w:ascii="仿宋_GB2312" w:hAnsi="仿宋" w:eastAsia="仿宋_GB2312" w:cs="仿宋_GB2312"/>
          <w:sz w:val="32"/>
          <w:szCs w:val="32"/>
        </w:rPr>
        <w:t>%，上年结转47.7万元，占总收入</w:t>
      </w:r>
      <w:r>
        <w:rPr>
          <w:rFonts w:hint="eastAsia" w:ascii="仿宋_GB2312" w:hAnsi="仿宋" w:eastAsia="仿宋_GB2312" w:cs="仿宋_GB2312"/>
          <w:sz w:val="32"/>
          <w:szCs w:val="32"/>
          <w:lang w:val="en-US" w:eastAsia="zh-CN"/>
        </w:rPr>
        <w:t>11.72</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年度部门财政资金总支出</w:t>
      </w:r>
      <w:r>
        <w:rPr>
          <w:rFonts w:hint="eastAsia" w:ascii="仿宋_GB2312" w:hAnsi="仿宋" w:eastAsia="仿宋_GB2312"/>
          <w:sz w:val="30"/>
          <w:szCs w:val="30"/>
          <w:lang w:eastAsia="zh-CN"/>
        </w:rPr>
        <w:t>181.01</w:t>
      </w:r>
      <w:r>
        <w:rPr>
          <w:rFonts w:hint="eastAsia" w:ascii="仿宋_GB2312" w:hAnsi="仿宋" w:eastAsia="仿宋_GB2312" w:cs="仿宋_GB2312"/>
          <w:sz w:val="32"/>
          <w:szCs w:val="32"/>
        </w:rPr>
        <w:t>万元（其中基本支出</w:t>
      </w:r>
      <w:r>
        <w:rPr>
          <w:rFonts w:hint="eastAsia" w:ascii="仿宋_GB2312" w:hAnsi="仿宋" w:eastAsia="仿宋_GB2312"/>
          <w:sz w:val="30"/>
          <w:szCs w:val="30"/>
          <w:lang w:eastAsia="zh-CN"/>
        </w:rPr>
        <w:t>181.01</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万元）具体为工资福利支出156.36万元，占总支出</w:t>
      </w:r>
      <w:r>
        <w:rPr>
          <w:rFonts w:hint="eastAsia" w:ascii="仿宋_GB2312" w:hAnsi="仿宋" w:eastAsia="仿宋_GB2312" w:cs="仿宋_GB2312"/>
          <w:sz w:val="32"/>
          <w:szCs w:val="32"/>
          <w:lang w:val="en-US" w:eastAsia="zh-CN"/>
        </w:rPr>
        <w:t>86.38</w:t>
      </w:r>
      <w:r>
        <w:rPr>
          <w:rFonts w:hint="eastAsia" w:ascii="仿宋_GB2312" w:hAnsi="仿宋" w:eastAsia="仿宋_GB2312" w:cs="仿宋_GB2312"/>
          <w:sz w:val="32"/>
          <w:szCs w:val="32"/>
        </w:rPr>
        <w:t>%，商品服务支出9.17万元，占总支出</w:t>
      </w:r>
      <w:r>
        <w:rPr>
          <w:rFonts w:hint="eastAsia" w:ascii="仿宋_GB2312" w:hAnsi="仿宋" w:eastAsia="仿宋_GB2312" w:cs="仿宋_GB2312"/>
          <w:sz w:val="32"/>
          <w:szCs w:val="32"/>
          <w:lang w:val="en-US" w:eastAsia="zh-CN"/>
        </w:rPr>
        <w:t>5.1</w:t>
      </w:r>
      <w:r>
        <w:rPr>
          <w:rFonts w:hint="eastAsia" w:ascii="仿宋_GB2312" w:hAnsi="仿宋" w:eastAsia="仿宋_GB2312" w:cs="仿宋_GB2312"/>
          <w:sz w:val="32"/>
          <w:szCs w:val="32"/>
        </w:rPr>
        <w:t>%，对个人家庭补助支出15.48万元，占总支出</w:t>
      </w:r>
      <w:r>
        <w:rPr>
          <w:rFonts w:hint="eastAsia" w:ascii="仿宋_GB2312" w:hAnsi="仿宋" w:eastAsia="仿宋_GB2312" w:cs="仿宋_GB2312"/>
          <w:sz w:val="32"/>
          <w:szCs w:val="32"/>
          <w:lang w:val="en-US" w:eastAsia="zh-CN"/>
        </w:rPr>
        <w:t>8.55</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通过县巡查组巡查组，本单位无违规记录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本年本单位在执行公务过程中</w:t>
      </w:r>
      <w:r>
        <w:rPr>
          <w:rFonts w:hint="eastAsia" w:ascii="仿宋_GB2312" w:hAnsi="仿宋_GB2312" w:eastAsia="仿宋_GB2312" w:cs="仿宋_GB2312"/>
          <w:sz w:val="32"/>
          <w:szCs w:val="32"/>
        </w:rPr>
        <w:t>严格执行“厉行节约、反对浪费”的规定，严格控制“三公”经费支出，加强公务用车管理，努力降低燃修费用。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在财政部门批复后及时填报预算公</w:t>
      </w:r>
      <w:r>
        <w:rPr>
          <w:rFonts w:hint="eastAsia" w:ascii="仿宋_GB2312" w:hAnsi="仿宋_GB2312" w:eastAsia="仿宋_GB2312" w:cs="仿宋_GB2312"/>
          <w:sz w:val="32"/>
          <w:szCs w:val="32"/>
          <w:lang w:eastAsia="zh-CN"/>
        </w:rPr>
        <w:t>开资料、决算公开资料</w:t>
      </w:r>
      <w:r>
        <w:rPr>
          <w:rFonts w:hint="eastAsia" w:ascii="仿宋_GB2312" w:hAnsi="仿宋_GB2312" w:eastAsia="仿宋_GB2312" w:cs="仿宋_GB2312"/>
          <w:sz w:val="32"/>
          <w:szCs w:val="32"/>
        </w:rPr>
        <w:t>报表报财政审核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在政府信息公开网上公示。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（一）评价结论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工作运转、履行职能职责上整体情况良好。具体有：</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结合评价得分评价结果为良好。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预算编制不够精细。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（三）改进建议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我们将进一步重视预算的编制工作，提高预算编制的精确度，提高财政资金使用效率，尽量减少预算执行调整、结转和结余注销的情形。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36435EC2"/>
    <w:rsid w:val="4B0F7D8E"/>
    <w:rsid w:val="6778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4</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2020-08-17T08:58:11Z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