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供销社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本年度有公务接待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700" w:leftChars="0"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本年度有公务接待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700" w:leftChars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1600" w:firstLineChars="5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1600" w:firstLineChars="5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黑水县供销社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6FF73"/>
    <w:multiLevelType w:val="singleLevel"/>
    <w:tmpl w:val="5026FF73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BCE177F"/>
    <w:rsid w:val="1D0B2F60"/>
    <w:rsid w:val="675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2021-08-09T08:00:33Z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ECC7F330B2A8458F854F8238AA51F7E7</vt:lpwstr>
  </property>
</Properties>
</file>