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6"/>
          <w:szCs w:val="36"/>
        </w:rPr>
      </w:pPr>
      <w:bookmarkStart w:id="0" w:name="_Toc15396616"/>
      <w:r>
        <w:rPr>
          <w:rFonts w:hint="eastAsia" w:ascii="仿宋_GB2312" w:hAnsi="黑体" w:eastAsia="仿宋_GB2312" w:cs="方正小标宋简体"/>
          <w:b/>
          <w:sz w:val="36"/>
          <w:szCs w:val="36"/>
          <w:lang w:eastAsia="zh-CN"/>
        </w:rPr>
        <w:t>黑水县供销社202</w:t>
      </w:r>
      <w:r>
        <w:rPr>
          <w:rFonts w:hint="eastAsia" w:ascii="仿宋_GB2312" w:hAnsi="黑体" w:eastAsia="仿宋_GB2312" w:cs="方正小标宋简体"/>
          <w:b/>
          <w:sz w:val="36"/>
          <w:szCs w:val="36"/>
          <w:lang w:val="en-US" w:eastAsia="zh-CN"/>
        </w:rPr>
        <w:t>2</w:t>
      </w:r>
      <w:r>
        <w:rPr>
          <w:rFonts w:hint="eastAsia" w:ascii="仿宋_GB2312" w:hAnsi="黑体" w:eastAsia="仿宋_GB2312" w:cs="方正小标宋简体"/>
          <w:b/>
          <w:sz w:val="36"/>
          <w:szCs w:val="36"/>
        </w:rPr>
        <w:t>年部门</w:t>
      </w:r>
    </w:p>
    <w:p>
      <w:pPr>
        <w:spacing w:line="600" w:lineRule="exact"/>
        <w:jc w:val="center"/>
        <w:outlineLvl w:val="0"/>
        <w:rPr>
          <w:rFonts w:ascii="仿宋_GB2312" w:hAnsi="黑体" w:eastAsia="仿宋_GB2312" w:cs="方正小标宋简体"/>
          <w:b/>
          <w:sz w:val="36"/>
          <w:szCs w:val="36"/>
        </w:rPr>
      </w:pPr>
      <w:r>
        <w:rPr>
          <w:rFonts w:hint="eastAsia" w:ascii="仿宋_GB2312" w:hAnsi="黑体" w:eastAsia="仿宋_GB2312" w:cs="方正小标宋简体"/>
          <w:b/>
          <w:sz w:val="36"/>
          <w:szCs w:val="36"/>
        </w:rPr>
        <w:t>整体支出绩效评价报告</w:t>
      </w:r>
      <w:bookmarkEnd w:id="0"/>
    </w:p>
    <w:p>
      <w:pPr>
        <w:spacing w:line="580" w:lineRule="exact"/>
        <w:ind w:firstLine="642" w:firstLineChars="200"/>
        <w:rPr>
          <w:rFonts w:ascii="仿宋_GB2312" w:hAnsi="黑体" w:eastAsia="仿宋_GB2312" w:cs="黑体"/>
          <w:b/>
          <w:sz w:val="32"/>
          <w:szCs w:val="32"/>
        </w:rPr>
      </w:pP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一、部门（单位）概况</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黑水县</w:t>
      </w:r>
      <w:r>
        <w:rPr>
          <w:rFonts w:hint="eastAsia" w:ascii="仿宋_GB2312" w:hAnsi="仿宋" w:eastAsia="仿宋_GB2312" w:cs="仿宋_GB2312"/>
          <w:sz w:val="32"/>
          <w:szCs w:val="32"/>
          <w:lang w:eastAsia="zh-CN"/>
        </w:rPr>
        <w:t>供销社</w:t>
      </w:r>
      <w:r>
        <w:rPr>
          <w:rFonts w:hint="eastAsia" w:ascii="仿宋_GB2312" w:hAnsi="仿宋" w:eastAsia="仿宋_GB2312" w:cs="仿宋_GB2312"/>
          <w:sz w:val="32"/>
          <w:szCs w:val="32"/>
        </w:rPr>
        <w:t xml:space="preserve">是属于独立核算一级单位。本单位共设置办公室、业务股、基层股、财务股4个股室。 </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）机构职能</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 w:eastAsia="仿宋_GB2312" w:cs="仿宋_GB2312"/>
          <w:sz w:val="32"/>
          <w:szCs w:val="32"/>
        </w:rPr>
        <w:t>宣传贯彻党有关农业、农村经济工作和社会发展的方</w:t>
      </w:r>
      <w:r>
        <w:rPr>
          <w:rFonts w:hint="eastAsia" w:ascii="仿宋_GB2312" w:hAnsi="仿宋_GB2312" w:eastAsia="仿宋_GB2312" w:cs="仿宋_GB2312"/>
          <w:sz w:val="32"/>
          <w:szCs w:val="32"/>
        </w:rPr>
        <w:t xml:space="preserve">针、政策；负责全县农民专业合作社。研究制定全县供销合作社发展规划；指导全县供销合作社的改革和发展，加快体制、机制创新，探索社会主义市场经济条件下合作经济的多种形式。负责对重要农业生产资料、重要农畜产品和政策性商品经营资格审定、质量监督和行业管理及有关救灾物资的组织、储备、调运工作。协调同政府有关部门、社会组织的关系，研究供销合作经济运行中的重大问题；了解、反映供销合作社系统和农牧民群众的意见和要求，维护合作经济组织的合法权益。组织全县供销社系统参与和推进农业产业化经营，加强农畜产品市场调查研究，培育农畜产品市场，组织发展专业合作社、消费合作社等中介服务组织，培育龙头产业，加强商品供求、市场、信息服务体系建设。负责全县农资、烟花爆竹的购销、运输及储存工作，发挥为“三农”服务的纽带作用。  </w:t>
      </w:r>
    </w:p>
    <w:p>
      <w:pPr>
        <w:spacing w:line="580" w:lineRule="exact"/>
        <w:ind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snapToGrid w:val="0"/>
        <w:spacing w:line="360" w:lineRule="auto"/>
        <w:ind w:firstLine="960" w:firstLineChars="300"/>
        <w:rPr>
          <w:rFonts w:hint="eastAsia" w:ascii="仿宋_GB2312" w:hAnsi="仿宋" w:eastAsia="仿宋_GB2312" w:cs="仿宋_GB2312"/>
          <w:sz w:val="32"/>
          <w:szCs w:val="32"/>
        </w:rPr>
      </w:pPr>
      <w:r>
        <w:rPr>
          <w:rFonts w:hint="eastAsia" w:ascii="仿宋_GB2312" w:hAnsi="仿宋_GB2312" w:eastAsia="仿宋_GB2312" w:cs="仿宋_GB2312"/>
          <w:color w:val="000000"/>
          <w:kern w:val="0"/>
          <w:sz w:val="32"/>
          <w:szCs w:val="32"/>
          <w:lang w:eastAsia="zh-CN"/>
        </w:rPr>
        <w:t>黑水县供销社</w:t>
      </w:r>
      <w:r>
        <w:rPr>
          <w:rFonts w:hint="eastAsia" w:ascii="仿宋_GB2312" w:hAnsi="仿宋_GB2312" w:eastAsia="仿宋_GB2312" w:cs="仿宋_GB2312"/>
          <w:color w:val="000000"/>
          <w:kern w:val="0"/>
          <w:sz w:val="32"/>
          <w:szCs w:val="32"/>
        </w:rPr>
        <w:t>总编制</w:t>
      </w:r>
      <w:r>
        <w:rPr>
          <w:rFonts w:hint="eastAsia" w:ascii="仿宋_GB2312" w:hAnsi="仿宋_GB2312" w:eastAsia="仿宋_GB2312" w:cs="仿宋_GB2312"/>
          <w:color w:val="000000"/>
          <w:kern w:val="0"/>
          <w:sz w:val="32"/>
          <w:szCs w:val="32"/>
          <w:u w:val="single"/>
        </w:rPr>
        <w:t xml:space="preserve"> 10</w:t>
      </w:r>
      <w:r>
        <w:rPr>
          <w:rFonts w:hint="eastAsia" w:ascii="仿宋_GB2312" w:hAnsi="仿宋_GB2312" w:eastAsia="仿宋_GB2312" w:cs="仿宋_GB2312"/>
          <w:color w:val="000000"/>
          <w:kern w:val="0"/>
          <w:sz w:val="32"/>
          <w:szCs w:val="32"/>
        </w:rPr>
        <w:t>名,其中:参公编制</w:t>
      </w:r>
      <w:r>
        <w:rPr>
          <w:rFonts w:hint="eastAsia" w:ascii="仿宋_GB2312" w:hAnsi="仿宋_GB2312" w:eastAsia="仿宋_GB2312" w:cs="仿宋_GB2312"/>
          <w:color w:val="000000"/>
          <w:kern w:val="0"/>
          <w:sz w:val="32"/>
          <w:szCs w:val="32"/>
          <w:u w:val="single"/>
        </w:rPr>
        <w:t>10</w:t>
      </w:r>
      <w:r>
        <w:rPr>
          <w:rFonts w:hint="eastAsia" w:ascii="仿宋_GB2312" w:hAnsi="仿宋_GB2312" w:eastAsia="仿宋_GB2312" w:cs="仿宋_GB2312"/>
          <w:color w:val="000000"/>
          <w:kern w:val="0"/>
          <w:sz w:val="32"/>
          <w:szCs w:val="32"/>
        </w:rPr>
        <w:t>名；其中：行政参公人员</w:t>
      </w:r>
      <w:r>
        <w:rPr>
          <w:rFonts w:hint="eastAsia" w:ascii="仿宋_GB2312" w:hAnsi="仿宋_GB2312" w:eastAsia="仿宋_GB2312" w:cs="仿宋_GB2312"/>
          <w:color w:val="000000"/>
          <w:kern w:val="0"/>
          <w:sz w:val="32"/>
          <w:szCs w:val="32"/>
          <w:u w:val="single"/>
        </w:rPr>
        <w:t>10</w:t>
      </w:r>
      <w:r>
        <w:rPr>
          <w:rFonts w:hint="eastAsia" w:ascii="仿宋_GB2312" w:hAnsi="仿宋_GB2312" w:eastAsia="仿宋_GB2312" w:cs="仿宋_GB2312"/>
          <w:color w:val="000000"/>
          <w:kern w:val="0"/>
          <w:sz w:val="32"/>
          <w:szCs w:val="32"/>
        </w:rPr>
        <w:t>名。在职人员比上年无变动。</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2022年</w:t>
      </w:r>
      <w:r>
        <w:rPr>
          <w:rFonts w:hint="eastAsia" w:ascii="仿宋_GB2312" w:hAnsi="仿宋" w:eastAsia="仿宋_GB2312" w:cs="仿宋_GB2312"/>
          <w:sz w:val="32"/>
          <w:szCs w:val="32"/>
        </w:rPr>
        <w:t>度部门财政资金总收入</w:t>
      </w:r>
      <w:r>
        <w:rPr>
          <w:rFonts w:hint="eastAsia" w:ascii="仿宋_GB2312" w:hAnsi="仿宋" w:eastAsia="仿宋_GB2312" w:cs="仿宋_GB2312"/>
          <w:sz w:val="32"/>
          <w:szCs w:val="32"/>
          <w:lang w:val="en-US" w:eastAsia="zh-CN"/>
        </w:rPr>
        <w:t>728.88</w:t>
      </w:r>
      <w:r>
        <w:rPr>
          <w:rFonts w:hint="eastAsia" w:ascii="仿宋_GB2312" w:hAnsi="仿宋" w:eastAsia="仿宋_GB2312" w:cs="仿宋_GB2312"/>
          <w:sz w:val="32"/>
          <w:szCs w:val="32"/>
        </w:rPr>
        <w:t>万元；其中当年财政拨款收入：</w:t>
      </w:r>
      <w:r>
        <w:rPr>
          <w:rFonts w:hint="eastAsia" w:ascii="仿宋_GB2312" w:hAnsi="仿宋" w:eastAsia="仿宋_GB2312" w:cs="仿宋_GB2312"/>
          <w:sz w:val="32"/>
          <w:szCs w:val="32"/>
          <w:lang w:val="en-US" w:eastAsia="zh-CN"/>
        </w:rPr>
        <w:t>728.88</w:t>
      </w:r>
      <w:r>
        <w:rPr>
          <w:rFonts w:hint="eastAsia" w:ascii="仿宋_GB2312" w:hAnsi="仿宋" w:eastAsia="仿宋_GB2312" w:cs="仿宋_GB2312"/>
          <w:sz w:val="32"/>
          <w:szCs w:val="32"/>
        </w:rPr>
        <w:t>万元，占总收入</w:t>
      </w:r>
      <w:r>
        <w:rPr>
          <w:rFonts w:hint="eastAsia" w:ascii="仿宋_GB2312" w:hAnsi="仿宋" w:eastAsia="仿宋_GB2312" w:cs="仿宋_GB2312"/>
          <w:sz w:val="32"/>
          <w:szCs w:val="32"/>
          <w:lang w:val="en-US" w:eastAsia="zh-CN"/>
        </w:rPr>
        <w:t>100</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pPr>
        <w:tabs>
          <w:tab w:val="left" w:pos="2820"/>
        </w:tabs>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2022年</w:t>
      </w:r>
      <w:r>
        <w:rPr>
          <w:rFonts w:hint="eastAsia" w:ascii="仿宋_GB2312" w:hAnsi="仿宋" w:eastAsia="仿宋_GB2312" w:cs="仿宋_GB2312"/>
          <w:sz w:val="32"/>
          <w:szCs w:val="32"/>
        </w:rPr>
        <w:t>度部门财政资金总支出</w:t>
      </w:r>
      <w:r>
        <w:rPr>
          <w:rFonts w:hint="eastAsia" w:ascii="仿宋_GB2312" w:hAnsi="仿宋" w:eastAsia="仿宋_GB2312"/>
          <w:sz w:val="30"/>
          <w:szCs w:val="30"/>
          <w:lang w:val="en-US" w:eastAsia="zh-CN"/>
        </w:rPr>
        <w:t>745.34</w:t>
      </w:r>
      <w:r>
        <w:rPr>
          <w:rFonts w:hint="eastAsia" w:ascii="仿宋_GB2312" w:hAnsi="仿宋" w:eastAsia="仿宋_GB2312" w:cs="仿宋_GB2312"/>
          <w:sz w:val="32"/>
          <w:szCs w:val="32"/>
        </w:rPr>
        <w:t>万元（其中基本支出</w:t>
      </w:r>
      <w:r>
        <w:rPr>
          <w:rFonts w:hint="eastAsia" w:ascii="仿宋_GB2312" w:hAnsi="仿宋" w:eastAsia="仿宋_GB2312" w:cs="仿宋_GB2312"/>
          <w:sz w:val="32"/>
          <w:szCs w:val="32"/>
          <w:lang w:val="en-US" w:eastAsia="zh-CN"/>
        </w:rPr>
        <w:t>243.54</w:t>
      </w:r>
      <w:r>
        <w:rPr>
          <w:rFonts w:hint="eastAsia" w:ascii="仿宋_GB2312" w:hAnsi="仿宋" w:eastAsia="仿宋_GB2312" w:cs="仿宋_GB2312"/>
          <w:sz w:val="32"/>
          <w:szCs w:val="32"/>
        </w:rPr>
        <w:t>万元、项目支出</w:t>
      </w:r>
      <w:r>
        <w:rPr>
          <w:rFonts w:hint="eastAsia" w:ascii="仿宋_GB2312" w:hAnsi="仿宋" w:eastAsia="仿宋_GB2312" w:cs="仿宋_GB2312"/>
          <w:sz w:val="32"/>
          <w:szCs w:val="32"/>
          <w:lang w:val="en-US" w:eastAsia="zh-CN"/>
        </w:rPr>
        <w:t>501.8</w:t>
      </w:r>
      <w:r>
        <w:rPr>
          <w:rFonts w:hint="eastAsia" w:ascii="仿宋_GB2312" w:hAnsi="仿宋" w:eastAsia="仿宋_GB2312" w:cs="仿宋_GB2312"/>
          <w:sz w:val="32"/>
          <w:szCs w:val="32"/>
        </w:rPr>
        <w:t>万元）具体为工资福利支出</w:t>
      </w:r>
      <w:r>
        <w:rPr>
          <w:rFonts w:hint="eastAsia" w:ascii="仿宋_GB2312" w:hAnsi="仿宋" w:eastAsia="仿宋_GB2312" w:cs="仿宋_GB2312"/>
          <w:sz w:val="32"/>
          <w:szCs w:val="32"/>
          <w:lang w:val="en-US" w:eastAsia="zh-CN"/>
        </w:rPr>
        <w:t>205.86</w:t>
      </w:r>
      <w:r>
        <w:rPr>
          <w:rFonts w:hint="eastAsia" w:ascii="仿宋_GB2312" w:hAnsi="仿宋" w:eastAsia="仿宋_GB2312" w:cs="仿宋_GB2312"/>
          <w:sz w:val="32"/>
          <w:szCs w:val="32"/>
        </w:rPr>
        <w:t>万元，占总支出</w:t>
      </w:r>
      <w:r>
        <w:rPr>
          <w:rFonts w:hint="eastAsia" w:ascii="仿宋_GB2312" w:hAnsi="仿宋" w:eastAsia="仿宋_GB2312" w:cs="仿宋_GB2312"/>
          <w:sz w:val="32"/>
          <w:szCs w:val="32"/>
          <w:lang w:val="en-US" w:eastAsia="zh-CN"/>
        </w:rPr>
        <w:t>27.62</w:t>
      </w:r>
      <w:r>
        <w:rPr>
          <w:rFonts w:hint="eastAsia" w:ascii="仿宋_GB2312" w:hAnsi="仿宋" w:eastAsia="仿宋_GB2312" w:cs="仿宋_GB2312"/>
          <w:sz w:val="32"/>
          <w:szCs w:val="32"/>
        </w:rPr>
        <w:t>%，商品服务支出</w:t>
      </w:r>
      <w:r>
        <w:rPr>
          <w:rFonts w:hint="eastAsia" w:ascii="仿宋_GB2312" w:hAnsi="仿宋" w:eastAsia="仿宋_GB2312" w:cs="仿宋_GB2312"/>
          <w:sz w:val="32"/>
          <w:szCs w:val="32"/>
          <w:lang w:val="en-US" w:eastAsia="zh-CN"/>
        </w:rPr>
        <w:t>19.67</w:t>
      </w:r>
      <w:r>
        <w:rPr>
          <w:rFonts w:hint="eastAsia" w:ascii="仿宋_GB2312" w:hAnsi="仿宋" w:eastAsia="仿宋_GB2312" w:cs="仿宋_GB2312"/>
          <w:sz w:val="32"/>
          <w:szCs w:val="32"/>
        </w:rPr>
        <w:t>万元，占总支出</w:t>
      </w:r>
      <w:r>
        <w:rPr>
          <w:rFonts w:hint="eastAsia" w:ascii="仿宋_GB2312" w:hAnsi="仿宋" w:eastAsia="仿宋_GB2312" w:cs="仿宋_GB2312"/>
          <w:sz w:val="32"/>
          <w:szCs w:val="32"/>
          <w:lang w:val="en-US" w:eastAsia="zh-CN"/>
        </w:rPr>
        <w:t>2.64</w:t>
      </w:r>
      <w:r>
        <w:rPr>
          <w:rFonts w:hint="eastAsia" w:ascii="仿宋_GB2312" w:hAnsi="仿宋" w:eastAsia="仿宋_GB2312" w:cs="仿宋_GB2312"/>
          <w:sz w:val="32"/>
          <w:szCs w:val="32"/>
        </w:rPr>
        <w:t>%，对个人家庭补助支出</w:t>
      </w:r>
      <w:r>
        <w:rPr>
          <w:rFonts w:hint="eastAsia" w:ascii="仿宋_GB2312" w:hAnsi="仿宋" w:eastAsia="仿宋_GB2312" w:cs="仿宋_GB2312"/>
          <w:sz w:val="32"/>
          <w:szCs w:val="32"/>
          <w:lang w:val="en-US" w:eastAsia="zh-CN"/>
        </w:rPr>
        <w:t>22.69</w:t>
      </w:r>
      <w:r>
        <w:rPr>
          <w:rFonts w:hint="eastAsia" w:ascii="仿宋_GB2312" w:hAnsi="仿宋" w:eastAsia="仿宋_GB2312" w:cs="仿宋_GB2312"/>
          <w:sz w:val="32"/>
          <w:szCs w:val="32"/>
        </w:rPr>
        <w:t>万元，占总支出</w:t>
      </w:r>
      <w:r>
        <w:rPr>
          <w:rFonts w:hint="eastAsia" w:ascii="仿宋_GB2312" w:hAnsi="仿宋" w:eastAsia="仿宋_GB2312" w:cs="仿宋_GB2312"/>
          <w:sz w:val="32"/>
          <w:szCs w:val="32"/>
          <w:lang w:val="en-US" w:eastAsia="zh-CN"/>
        </w:rPr>
        <w:t>3.04</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资本性支出497.12万元，占总支出66.70%。</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三、部门整体预算绩效管理情况</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（一）部门预算管理。</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包括部门绩效目标制定、目标完成、预算编制准确、支出控制、预算动态调整、执行进度、预算完成情况和违规记录等情况。</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（二）专项预算管理。</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包括专项预算项目程序严密、规划合理、结果符合、分配科学、分配及时、专项预算绩效目标完成、实施绩效、违规记录等情况。</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产管理做到正确核算，加强固定资产购置、使用及保管。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通过县巡查组巡查组，本单位无违规记录</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（三）结果应用情况。</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本年本单位在执行公务过程中</w:t>
      </w:r>
      <w:r>
        <w:rPr>
          <w:rFonts w:hint="eastAsia" w:ascii="仿宋_GB2312" w:hAnsi="仿宋_GB2312" w:eastAsia="仿宋_GB2312" w:cs="仿宋_GB2312"/>
          <w:sz w:val="32"/>
          <w:szCs w:val="32"/>
        </w:rPr>
        <w:t>严格执行“厉行节约、反对浪费”的规定，严格控制“三公”经费支出，加强公务用车管理，努力降低燃修费用。</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部门预算</w:t>
      </w:r>
      <w:r>
        <w:rPr>
          <w:rFonts w:hint="eastAsia" w:ascii="仿宋_GB2312" w:hAnsi="仿宋_GB2312" w:eastAsia="仿宋_GB2312" w:cs="仿宋_GB2312"/>
          <w:sz w:val="32"/>
          <w:szCs w:val="32"/>
          <w:lang w:eastAsia="zh-CN"/>
        </w:rPr>
        <w:t>决算</w:t>
      </w:r>
      <w:r>
        <w:rPr>
          <w:rFonts w:hint="eastAsia" w:ascii="仿宋_GB2312" w:hAnsi="仿宋_GB2312" w:eastAsia="仿宋_GB2312" w:cs="仿宋_GB2312"/>
          <w:sz w:val="32"/>
          <w:szCs w:val="32"/>
        </w:rPr>
        <w:t>在财政部门批复后及时填报预算公</w:t>
      </w:r>
      <w:r>
        <w:rPr>
          <w:rFonts w:hint="eastAsia" w:ascii="仿宋_GB2312" w:hAnsi="仿宋_GB2312" w:eastAsia="仿宋_GB2312" w:cs="仿宋_GB2312"/>
          <w:sz w:val="32"/>
          <w:szCs w:val="32"/>
          <w:lang w:eastAsia="zh-CN"/>
        </w:rPr>
        <w:t>开资料、决算公开资料</w:t>
      </w:r>
      <w:r>
        <w:rPr>
          <w:rFonts w:hint="eastAsia" w:ascii="仿宋_GB2312" w:hAnsi="仿宋_GB2312" w:eastAsia="仿宋_GB2312" w:cs="仿宋_GB2312"/>
          <w:sz w:val="32"/>
          <w:szCs w:val="32"/>
        </w:rPr>
        <w:t>报表报财政审核</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在政府信息公开网上公示。</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四、评价结论及建议 </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（一）评价结论</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预算支出在保障本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工作运转、履行职能职责上整体情况良好。具体有：</w:t>
      </w:r>
      <w:r>
        <w:rPr>
          <w:rFonts w:hint="eastAsia" w:ascii="仿宋_GB2312" w:hAnsi="仿宋_GB2312" w:eastAsia="仿宋_GB2312" w:cs="仿宋_GB2312"/>
          <w:sz w:val="32"/>
          <w:szCs w:val="32"/>
          <w:lang w:eastAsia="zh-CN"/>
        </w:rPr>
        <w:t>2022年</w:t>
      </w:r>
      <w:r>
        <w:rPr>
          <w:rFonts w:hint="eastAsia" w:ascii="仿宋_GB2312" w:hAnsi="仿宋_GB2312" w:eastAsia="仿宋_GB2312" w:cs="仿宋_GB2312"/>
          <w:sz w:val="32"/>
          <w:szCs w:val="32"/>
        </w:rPr>
        <w:t>度支出绩效较好，预算编制比较精确、合理;为认真落实中央八项</w:t>
      </w:r>
      <w:bookmarkStart w:id="1" w:name="_GoBack"/>
      <w:bookmarkEnd w:id="1"/>
      <w:r>
        <w:rPr>
          <w:rFonts w:hint="eastAsia" w:ascii="仿宋_GB2312" w:hAnsi="仿宋_GB2312" w:eastAsia="仿宋_GB2312" w:cs="仿宋_GB2312"/>
          <w:sz w:val="32"/>
          <w:szCs w:val="32"/>
        </w:rPr>
        <w:t>规定等厉行节约，反对浪费规定要求，压缩了部分培训费及一般性支出;动态优化了年度预算安排，保障了在经费压缩情况下的高效运转;各项目经费的支出有力保障了办公设备购置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 </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结合评价得分评价结果为良好。</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（二）存在问题</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预算编制不够精细。</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（三）改进建议 </w:t>
      </w:r>
    </w:p>
    <w:p>
      <w:pPr>
        <w:keepNext w:val="0"/>
        <w:keepLines w:val="0"/>
        <w:pageBreakBefore w:val="0"/>
        <w:widowControl w:val="0"/>
        <w:kinsoku/>
        <w:wordWrap/>
        <w:overflowPunct/>
        <w:topLinePunct w:val="0"/>
        <w:autoSpaceDE/>
        <w:autoSpaceDN/>
        <w:bidi w:val="0"/>
        <w:adjustRightIn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我们将进一步重视预算的编制工作，提高预算编制的精确度，提高财政资金使用效率，尽量减少预算执行调整、结转和结余注销的情形。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5ZWRlMzQ1MTg4YTZmODgwMjMxOTc0YTUzOGNkZmQifQ=="/>
  </w:docVars>
  <w:rsids>
    <w:rsidRoot w:val="00491B22"/>
    <w:rsid w:val="00291808"/>
    <w:rsid w:val="00491B22"/>
    <w:rsid w:val="0052390C"/>
    <w:rsid w:val="20DD1BE2"/>
    <w:rsid w:val="341315A1"/>
    <w:rsid w:val="36435EC2"/>
    <w:rsid w:val="469D3756"/>
    <w:rsid w:val="4B0F7D8E"/>
    <w:rsid w:val="530E1AC2"/>
    <w:rsid w:val="615A0979"/>
    <w:rsid w:val="67786A49"/>
    <w:rsid w:val="68F83342"/>
    <w:rsid w:val="B8FE3F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53</Words>
  <Characters>307</Characters>
  <Lines>2</Lines>
  <Paragraphs>1</Paragraphs>
  <TotalTime>3</TotalTime>
  <ScaleCrop>false</ScaleCrop>
  <LinksUpToDate>false</LinksUpToDate>
  <CharactersWithSpaces>359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2026-06-12T17:09:48Z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E8178BBD530A499EA8E0DE6F5FF8FAFF_13</vt:lpwstr>
  </property>
</Properties>
</file>