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</w:rPr>
        <w:t>黑水县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  <w:lang w:val="en-US" w:eastAsia="zh-CN"/>
        </w:rPr>
        <w:t>供销社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</w:rPr>
        <w:t>关于“三公”经费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  <w:lang w:eastAsia="zh-CN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年预算数持平，与上年度决算持平。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本年度无公务接待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黑水县供销社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mEyOTFjMjZjODc0OGIyZjk3N2Q1Zjc3YWU5MjEifQ=="/>
  </w:docVars>
  <w:rsids>
    <w:rsidRoot w:val="003F1AE8"/>
    <w:rsid w:val="003F1AE8"/>
    <w:rsid w:val="007153A1"/>
    <w:rsid w:val="1D0B2F60"/>
    <w:rsid w:val="30861092"/>
    <w:rsid w:val="32B946E6"/>
    <w:rsid w:val="4A7F3F16"/>
    <w:rsid w:val="60366A76"/>
    <w:rsid w:val="66090EF9"/>
    <w:rsid w:val="6F5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345</Words>
  <Characters>387</Characters>
  <Lines>3</Lines>
  <Paragraphs>1</Paragraphs>
  <TotalTime>2</TotalTime>
  <ScaleCrop>false</ScaleCrop>
  <LinksUpToDate>false</LinksUpToDate>
  <CharactersWithSpaces>463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2024-09-24T08:10:54Z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0A9CF0CEB9DE4D2C9B86D51281E360B0_13</vt:lpwstr>
  </property>
</Properties>
</file>