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both"/>
        <w:rPr>
          <w:rFonts w:hint="eastAsia" w:ascii="宋体"/>
          <w:b/>
          <w:bCs/>
          <w:color w:val="FF0000"/>
          <w:w w:val="43"/>
          <w:sz w:val="144"/>
          <w:szCs w:val="144"/>
        </w:rPr>
      </w:pPr>
      <w:r>
        <w:rPr>
          <w:rFonts w:ascii="宋体"/>
          <w:b/>
          <w:bCs/>
          <w:color w:val="FF0000"/>
          <w:w w:val="43"/>
          <w:sz w:val="220"/>
          <w:szCs w:val="220"/>
        </w:rPr>
        <w:drawing>
          <wp:inline distT="0" distB="0" distL="114300" distR="114300">
            <wp:extent cx="5382895" cy="493395"/>
            <wp:effectExtent l="0" t="0" r="8255" b="1905"/>
            <wp:docPr id="2" name="图片 2" descr="QQ截图2022061616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06161606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jc w:val="distribute"/>
        <w:rPr>
          <w:rFonts w:hint="eastAsia" w:ascii="宋体" w:cs="宋体"/>
          <w:b/>
          <w:bCs/>
          <w:color w:val="FF0000"/>
          <w:w w:val="44"/>
          <w:sz w:val="144"/>
          <w:szCs w:val="144"/>
        </w:rPr>
      </w:pPr>
      <w:r>
        <w:rPr>
          <w:rFonts w:hint="eastAsia" w:ascii="宋体" w:cs="宋体"/>
          <w:b/>
          <w:bCs/>
          <w:color w:val="FF0000"/>
          <w:w w:val="44"/>
          <w:sz w:val="144"/>
          <w:szCs w:val="144"/>
        </w:rPr>
        <w:t>黑水县供销合作社联合社文件</w:t>
      </w:r>
    </w:p>
    <w:p>
      <w:pPr>
        <w:autoSpaceDE w:val="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393065</wp:posOffset>
                </wp:positionV>
                <wp:extent cx="5665470" cy="22225"/>
                <wp:effectExtent l="0" t="13970" r="11430" b="209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470" cy="222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30.95pt;height:1.75pt;width:446.1pt;z-index:251659264;mso-width-relative:page;mso-height-relative:page;" filled="f" stroked="t" coordsize="21600,21600" o:gfxdata="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AoAAAAAAIdO4kAAAAAAAAAAAAAAAAAG&#10;AAAAAAAAAAAAEAAAAF8DAABfcmVscy9QSwECFAAKAAAAAACHTuJAAAAAAAAAAAAAAAAABAAAAAAA&#10;AAAAABAAAAAWAAAAZHJzL1BLAQIUABQAAAAIAIdO4kArh71X+QEAAOkDAAAOAAAAAAAAAAEAIAAA&#10;ADoBAABkcnMvZTJvRG9jLnhtbFBLAQIUABQAAAAIAIdO4kDIcJaq1QAAAAcBAAAPAAAAAAAAAAEA&#10;IAAAADgAAABkcnMvZG93bnJldi54bWxQSwUGAAAAAAYABgBZAQAAp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黑水县农产品销售体系提升项目（二期）专项预算项目绩效评价报告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宋体" w:eastAsia="黑体"/>
          <w:highlight w:val="none"/>
          <w:lang w:val="zh-CN"/>
        </w:rPr>
      </w:pPr>
      <w:r>
        <w:rPr>
          <w:rFonts w:hint="eastAsia" w:ascii="黑体" w:hAnsi="宋体" w:eastAsia="黑体"/>
          <w:highlight w:val="none"/>
        </w:rPr>
        <w:t>一、</w:t>
      </w:r>
      <w:r>
        <w:rPr>
          <w:rFonts w:hint="eastAsia" w:ascii="黑体" w:hAnsi="宋体" w:eastAsia="黑体"/>
          <w:highlight w:val="none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（一）设立背景及基本情况。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《中华人民共和国第十四个五年规划和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二〇三五年远景目标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纲要》明确指出：“加快生活性服务业品质化发展，以提升便利度和改善服务体验为导向，推动生活性服务业向高品质和多样化升级，这就为项目建设提供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政治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方向”。为此，黑水县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农产品销售体系提升项目（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符合中央、省、州发展方向，立足黑水实际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近年来，黑水县依托特色产业、民俗风情、红色文化、冰川彩林等资源，以“产业+文化+生态+农业”的模式，形成了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 w:bidi="ar-SA"/>
        </w:rPr>
        <w:t>产业规模化发展格局。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为进一步提升黑水县农业基础设施、产业发展等，全面推进农业农村现代化。目前，原展销中心只有主体结构，相应的装饰装修及配套设施需要提升改造。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二）</w:t>
      </w: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实施目的及支持方向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有效加快县域农特产品商品化进程，拓宽群众就业增收渠道，推进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农业农村现代化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  <w:t>，增强县域经济发展动力。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通过完善销售体系，加快我县农特产品商品化，完善我县农特产品销售体系，加快特色农产品提档升级，突出抓好农特产品线上线下实物销售平台建设。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2" w:firstLineChars="200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预算安排及分配管理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2023年年初预算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135.37万元，调整后预算数135.37万元，预算执行数135.37万元。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（四）项目绩效目标设置。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ab/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ab/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按照黑水县第二期农产品销售体系提升项目内容做好设施建设，经营性资产提升改造，增加农产品销售量，提升农特产品销售收入，增加农户收入。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ab/>
      </w:r>
    </w:p>
    <w:tbl>
      <w:tblPr>
        <w:tblStyle w:val="10"/>
        <w:tblpPr w:leftFromText="180" w:rightFromText="180" w:vertAnchor="text" w:horzAnchor="page" w:tblpX="2283" w:tblpY="440"/>
        <w:tblOverlap w:val="never"/>
        <w:tblW w:w="7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99"/>
        <w:gridCol w:w="959"/>
        <w:gridCol w:w="2223"/>
        <w:gridCol w:w="396"/>
        <w:gridCol w:w="910"/>
        <w:gridCol w:w="396"/>
        <w:gridCol w:w="861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完成值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建立冰川彩林科普文创馆、阿拉吉集市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完成期限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扩大农产品销售，提升农特产品知名度，增加老百姓销售收入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满意度达到90%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仿宋_GB2312" w:hAnsi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黑体" w:hAnsi="宋体" w:eastAsia="黑体"/>
          <w:highlight w:val="none"/>
          <w:lang w:eastAsia="zh-CN"/>
        </w:rPr>
      </w:pPr>
      <w:r>
        <w:rPr>
          <w:rFonts w:hint="eastAsia" w:ascii="黑体" w:hAnsi="宋体" w:eastAsia="黑体"/>
          <w:highlight w:val="none"/>
        </w:rPr>
        <w:t>二、</w:t>
      </w:r>
      <w:r>
        <w:rPr>
          <w:rFonts w:hint="eastAsia" w:ascii="黑体" w:hAnsi="宋体" w:eastAsia="黑体"/>
          <w:highlight w:val="none"/>
          <w:lang w:eastAsia="zh-CN"/>
        </w:rPr>
        <w:t>评价实施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eastAsia="仿宋_GB2312" w:cs="Times New Roman"/>
          <w:szCs w:val="32"/>
          <w:highlight w:val="none"/>
        </w:rPr>
      </w:pPr>
      <w:r>
        <w:rPr>
          <w:rFonts w:hint="eastAsia" w:eastAsia="仿宋_GB2312" w:cs="Times New Roman"/>
          <w:szCs w:val="32"/>
          <w:highlight w:val="none"/>
        </w:rPr>
        <w:t>通过绩效评价，及时发现项目实施中存在的薄弱环节，总结推广好的经验和做法，进一步规范项目管理。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  <w:t>1.长效机制建立情况。项目实施单位是否已建立项目实施管理制度等。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  <w:t>2.项目实施程序严密性。建设项目的招投标资料是否完整、真实，有无弄虚作假套取财政资金等问题。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  <w:t>3.资金拨付和使用的合规性。是否按国库集中支付规定办理资金拨付手续；是否不按时拨付，造成滞留资金积压；资金是否专款专用，是否随意变更项目内容及地点；是否遵守《现金管理暂行条例》规定；是否有挤古、挪用、截留等违纪违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  <w:t>4.信息的公开透明度。项目资金管理单位的公开公示情况。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  <w:t>5.财务管理和会计核算规范性。财务核算是否符合《中华人民共和国会计法》《会计基础工作规范》等要求、是否符合基本建设财务管理和会计制度规定。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highlight w:val="none"/>
          <w:lang w:val="zh-CN"/>
        </w:rPr>
        <w:t>6.项目实施单位绩效自评情况。项目实施单位是否严格按照预算绩效管理规定开展绩效自评。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（三）评价选点。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outlineLvl w:val="9"/>
        <w:rPr>
          <w:rFonts w:hint="eastAsia" w:cs="Times New Roman"/>
          <w:szCs w:val="32"/>
          <w:highlight w:val="none"/>
          <w:lang w:val="zh-CN" w:eastAsia="zh-CN"/>
        </w:rPr>
      </w:pPr>
      <w:r>
        <w:rPr>
          <w:rFonts w:hint="eastAsia" w:cs="Times New Roman"/>
          <w:szCs w:val="32"/>
          <w:highlight w:val="none"/>
          <w:lang w:val="zh-CN" w:eastAsia="zh-CN"/>
        </w:rPr>
        <w:t>地点黑水县芦花镇泽盖村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cs="Times New Roman"/>
          <w:szCs w:val="32"/>
          <w:highlight w:val="none"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（四）评价方法。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highlight w:val="none"/>
          <w:lang w:val="zh-CN" w:eastAsia="zh-CN"/>
        </w:rPr>
      </w:pP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1.现场咨询。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2.实施单位自评，形成完整自评资料。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（五）评价组织。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eastAsia="仿宋_GB2312" w:cs="Times New Roman"/>
          <w:szCs w:val="32"/>
          <w:highlight w:val="none"/>
        </w:rPr>
        <w:t>评价组人员由相关业务股室和项目单位代表组成，评价小组以检查账目、资料、电话核实等形式开展了现场评价。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三、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绩效分析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none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（一）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通用指标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项目决策。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决策程序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：黑水县农产品销售体系提升项目（二期）的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设立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以及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调整延续等方面符合资金管理基本规范和决策程序要求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规划论证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：黑水县农产品销售体系提升项目（二期）在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规划论证符合中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省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、州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要求，项目绩效目标设置科学合理，项目资金与项目总体规划、相关行业事业发展相匹配，聚焦重大任务、重点领域、重点环节和重点项目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资金投向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：黑水县农产品销售体系提升项目（二期）资金是与项目总体规划、相关行业事业发展相匹配，聚焦重大任务、重点领域、重点环节，能够利用好资金。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项目管理。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制度办法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：我单位此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项目制度办法体系健全、要素完备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。资金管理办法等管理制度体系健全完善，不存在管理制度缺失、管理办法过期情况。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分配管理：黑水县农产品销售体系提升项目（二期）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资金分配因素选取、权重设置、区域分布，项目管理、审批符合管理要求，管资金、项目、政策管绩效，项目绩效监管按要求开展，对下指导有力有效。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绩效监管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我单位明确要求黑水县农产品销售体系提升项目（二期）的“事前评估”、“事中监控”、“事后评价”，层层把控，对相关人员进行绩效业务培训，使人人“懂理念、会分析”。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全面科学管理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项目，避免偏离轨道造成的损耗成本、影响质量、效率低下。“花钱必问效，无效必问责”，该局将绩效理念融入预算编制、执行、监督全过程，抓好项目效益是否提升的“落脚点”，发挥绩效评价导向作用，确保被评价单位把每一笔钱都用在刀刃上、紧要处，力求项目效益提升。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val="en-US" w:eastAsia="zh-CN"/>
        </w:rPr>
        <w:t>3.项目实施。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预算执行:项目预算资金135.37万元，支付135.37万元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Cs w:val="32"/>
          <w:highlight w:val="none"/>
          <w:lang w:val="en-US" w:eastAsia="zh-CN"/>
        </w:rPr>
        <w:t>资金使用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val="en-US" w:eastAsia="zh-CN"/>
        </w:rPr>
        <w:t>:项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val="en-US" w:eastAsia="zh-CN"/>
        </w:rPr>
        <w:t>4.项目结果。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围绕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目标完成、完成时效进行绩效分析。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目标完成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黑水县农产品销售体系提升项目（二期）资金内容与具体实施内容相符的、申报目标是合理可行。项目运行成本、管理效率、履职效能、社会效应、可持续发展能力和服务对象满意度等方面均取得良好成果，预算绩效实现全覆盖。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截止2023年底完成项目资金拨付。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完成时效：资金项目按照目标任务已于2023年底完成。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highlight w:val="none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（二）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专用指标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项目验收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黑水县农产品销售体系提升项目（二期）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已完成项目验收，出具项目相关验收报告。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功能实现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黑水县农产品销售体系提升项目（二期）资金分配均衡公平，资金实际支持对象符合管理要求，</w:t>
      </w:r>
      <w:r>
        <w:rPr>
          <w:rFonts w:hint="eastAsia" w:cs="Times New Roman"/>
          <w:color w:val="auto"/>
          <w:szCs w:val="32"/>
          <w:highlight w:val="none"/>
          <w:lang w:val="zh-CN" w:eastAsia="zh-CN"/>
        </w:rPr>
        <w:t>项目用途合规性、程序合规性、标准合规性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后续管护:该项目完成后建立了明确的责任制度，确保每个环节都有专人负责。通过宣传和教育活动提高公众对项目管护的认识和参与度,以提高管理效率和质量。确保项目的长期效益和持续运行，提高项目的整体价值和社会的整体福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（三）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个性指标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社会效益：通过健全销售体系，推动县域农业产业提速发展、带动农业人口就业。</w:t>
      </w:r>
      <w:r>
        <w:rPr>
          <w:rFonts w:hint="eastAsia" w:cs="Times New Roman"/>
          <w:color w:val="auto"/>
          <w:szCs w:val="32"/>
          <w:highlight w:val="none"/>
          <w:lang w:eastAsia="zh-CN"/>
        </w:rPr>
        <w:t>指标分值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5分，自评得分4分。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经济效益：附近群众可以通过在农产品展销中心开展农产品、文旅产品销售直接获得经济收入。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生态效益：通过对农产品销售反馈的信息，引导更多的群众、企业开展生态种养和生态加工，使群众形成发展生态产业的观念，从而不断扩大生态种养规模。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、评价结论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通过汇总、整理、分析黑水县农产品销售体系提升项目（二期）绩效评价指标体系，绩效目标基本实现。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宋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  <w:t>存在主要问题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  <w:t>六、改进建议</w:t>
      </w:r>
    </w:p>
    <w:p>
      <w:pPr>
        <w:tabs>
          <w:tab w:val="left" w:pos="1911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   </w:t>
      </w:r>
      <w:bookmarkStart w:id="0" w:name="_Hlk110546638"/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1600" w:firstLineChars="5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专项预算项目绩效目标完成情况自评表</w:t>
      </w:r>
    </w:p>
    <w:p>
      <w:pPr>
        <w:pStyle w:val="2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pStyle w:val="2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pStyle w:val="2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pStyle w:val="2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黑水县供销合作社联合社</w:t>
      </w:r>
    </w:p>
    <w:p>
      <w:pPr>
        <w:pStyle w:val="2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2024年9月24日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附表</w:t>
      </w:r>
      <w:r>
        <w:rPr>
          <w:rFonts w:hint="eastAsia" w:asci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1</w:t>
      </w:r>
    </w:p>
    <w:tbl>
      <w:tblPr>
        <w:tblStyle w:val="10"/>
        <w:tblW w:w="10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250"/>
        <w:gridCol w:w="1312"/>
        <w:gridCol w:w="1127"/>
        <w:gridCol w:w="971"/>
        <w:gridCol w:w="1061"/>
        <w:gridCol w:w="93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23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专项预算项目绩效目标完成情况自评表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黑水县农产品销售体系提升项目（二期）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黑水县供销社联合社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概况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中长期规划（名称、文号，仅指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常年项目）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资金管理办法（名称、文号）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绩效分配方式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因素法与项目法相结合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申报（补助）条件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年度资金总额：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有效加快县域农特产品商品化进程，拓宽群众就业增收渠道，推进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农业农村现代化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，增强县域经济发展动力。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建立冰川彩林科普文创馆、</w:t>
            </w:r>
            <w:bookmarkStart w:id="1" w:name="_GoBack"/>
            <w:bookmarkEnd w:id="1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阿拉吉集市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完成期限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扩大农产品销售，提升农特产品知名度，增加老百姓销售收入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满意度达到90%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A42D4"/>
    <w:multiLevelType w:val="singleLevel"/>
    <w:tmpl w:val="9F7A42D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208B218"/>
    <w:multiLevelType w:val="singleLevel"/>
    <w:tmpl w:val="E208B2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BF2898"/>
    <w:multiLevelType w:val="singleLevel"/>
    <w:tmpl w:val="3FBF289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mU0YjQwOGYyNGQwZTlhNTYyNTM2MDA4OWYzYWUifQ=="/>
  </w:docVars>
  <w:rsids>
    <w:rsidRoot w:val="771D4D51"/>
    <w:rsid w:val="1C25106F"/>
    <w:rsid w:val="1C97026A"/>
    <w:rsid w:val="1CFD8DF6"/>
    <w:rsid w:val="1FFF9AD9"/>
    <w:rsid w:val="22AD555F"/>
    <w:rsid w:val="23EA073D"/>
    <w:rsid w:val="26CF2DB3"/>
    <w:rsid w:val="2AF86ED7"/>
    <w:rsid w:val="2AFDF212"/>
    <w:rsid w:val="2B385C88"/>
    <w:rsid w:val="2B6BF484"/>
    <w:rsid w:val="2FFF7DE7"/>
    <w:rsid w:val="33F748AD"/>
    <w:rsid w:val="35874596"/>
    <w:rsid w:val="35F2A362"/>
    <w:rsid w:val="36EA2AC9"/>
    <w:rsid w:val="371A51D2"/>
    <w:rsid w:val="373BBD0C"/>
    <w:rsid w:val="39BFEDBA"/>
    <w:rsid w:val="39DBABD8"/>
    <w:rsid w:val="3AED12ED"/>
    <w:rsid w:val="3AFF6A5D"/>
    <w:rsid w:val="3BDD34D2"/>
    <w:rsid w:val="3BDDFF97"/>
    <w:rsid w:val="3BFFD43B"/>
    <w:rsid w:val="3C7BD5C9"/>
    <w:rsid w:val="3FBF9251"/>
    <w:rsid w:val="3FED766E"/>
    <w:rsid w:val="3FFEEAD9"/>
    <w:rsid w:val="3FFFE931"/>
    <w:rsid w:val="457F07F2"/>
    <w:rsid w:val="48091950"/>
    <w:rsid w:val="49CB2F9F"/>
    <w:rsid w:val="4CC6FDBD"/>
    <w:rsid w:val="4E07F45D"/>
    <w:rsid w:val="4FF59AF5"/>
    <w:rsid w:val="503D00E8"/>
    <w:rsid w:val="55FE10A2"/>
    <w:rsid w:val="56EF6619"/>
    <w:rsid w:val="57AF1E73"/>
    <w:rsid w:val="57BB92DE"/>
    <w:rsid w:val="5AB21C33"/>
    <w:rsid w:val="5B778EC0"/>
    <w:rsid w:val="5BFD93EC"/>
    <w:rsid w:val="5CBA8FF2"/>
    <w:rsid w:val="5D5F7E21"/>
    <w:rsid w:val="5ED7B974"/>
    <w:rsid w:val="5EFCE04D"/>
    <w:rsid w:val="5F5B35E4"/>
    <w:rsid w:val="5FBFDF4B"/>
    <w:rsid w:val="5FEF918E"/>
    <w:rsid w:val="609FA7B0"/>
    <w:rsid w:val="69FCE5E7"/>
    <w:rsid w:val="6BCDA9CC"/>
    <w:rsid w:val="6D9F2765"/>
    <w:rsid w:val="6DB508E5"/>
    <w:rsid w:val="6DDFA6BD"/>
    <w:rsid w:val="6E767ACE"/>
    <w:rsid w:val="6E781687"/>
    <w:rsid w:val="6EDE9267"/>
    <w:rsid w:val="6EEE3ED1"/>
    <w:rsid w:val="6EFFED40"/>
    <w:rsid w:val="6F1B2166"/>
    <w:rsid w:val="6F5FC1DE"/>
    <w:rsid w:val="6FB3E1FD"/>
    <w:rsid w:val="6FD768E4"/>
    <w:rsid w:val="6FF341F1"/>
    <w:rsid w:val="6FFEBD86"/>
    <w:rsid w:val="73FF1F09"/>
    <w:rsid w:val="73FF684B"/>
    <w:rsid w:val="74A708C5"/>
    <w:rsid w:val="76DFCB7D"/>
    <w:rsid w:val="771D4D51"/>
    <w:rsid w:val="7735A28E"/>
    <w:rsid w:val="77778F6D"/>
    <w:rsid w:val="77ABFD6B"/>
    <w:rsid w:val="77B7A121"/>
    <w:rsid w:val="77C748BA"/>
    <w:rsid w:val="77DD24F1"/>
    <w:rsid w:val="77F10335"/>
    <w:rsid w:val="77F7E860"/>
    <w:rsid w:val="77FB8D34"/>
    <w:rsid w:val="78AFB71E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DA14F75"/>
    <w:rsid w:val="7DB57A61"/>
    <w:rsid w:val="7DC7DC1F"/>
    <w:rsid w:val="7DF95E12"/>
    <w:rsid w:val="7DFDF40F"/>
    <w:rsid w:val="7DFF9BC7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CB92197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E4DD88"/>
    <w:rsid w:val="BFF9117D"/>
    <w:rsid w:val="BFFF6947"/>
    <w:rsid w:val="C35FCD00"/>
    <w:rsid w:val="C8FDA203"/>
    <w:rsid w:val="CC6FC3EA"/>
    <w:rsid w:val="CEF79301"/>
    <w:rsid w:val="CEFBB93B"/>
    <w:rsid w:val="CF7C6158"/>
    <w:rsid w:val="CF9D4E98"/>
    <w:rsid w:val="CFAB08AF"/>
    <w:rsid w:val="CFBFEC5E"/>
    <w:rsid w:val="D65BF816"/>
    <w:rsid w:val="D73F10CF"/>
    <w:rsid w:val="D977C3BB"/>
    <w:rsid w:val="D977C9A6"/>
    <w:rsid w:val="D9FF310B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B61D7C"/>
    <w:rsid w:val="DFDFC0CD"/>
    <w:rsid w:val="DFEFFD70"/>
    <w:rsid w:val="DFF7F21C"/>
    <w:rsid w:val="DFFE4986"/>
    <w:rsid w:val="E3F74AB8"/>
    <w:rsid w:val="E5FA323A"/>
    <w:rsid w:val="E5FD7CF6"/>
    <w:rsid w:val="E7FE6222"/>
    <w:rsid w:val="E9BB2A12"/>
    <w:rsid w:val="EDDF69E1"/>
    <w:rsid w:val="EDF76BB3"/>
    <w:rsid w:val="EEF68640"/>
    <w:rsid w:val="EF3F95CC"/>
    <w:rsid w:val="EFF41AC0"/>
    <w:rsid w:val="EFF76D95"/>
    <w:rsid w:val="EFFF2C87"/>
    <w:rsid w:val="EFFFA435"/>
    <w:rsid w:val="F1DF82E1"/>
    <w:rsid w:val="F1F64F55"/>
    <w:rsid w:val="F2E22473"/>
    <w:rsid w:val="F35D14F0"/>
    <w:rsid w:val="F3E76952"/>
    <w:rsid w:val="F3F4C349"/>
    <w:rsid w:val="F3F64609"/>
    <w:rsid w:val="F4E96614"/>
    <w:rsid w:val="F4F54B3B"/>
    <w:rsid w:val="F58EBBB0"/>
    <w:rsid w:val="F5CBD2AD"/>
    <w:rsid w:val="F6F3FBF3"/>
    <w:rsid w:val="F6FE0D0F"/>
    <w:rsid w:val="F9B8FDC3"/>
    <w:rsid w:val="F9BF4E89"/>
    <w:rsid w:val="FA79E738"/>
    <w:rsid w:val="FAD729CA"/>
    <w:rsid w:val="FB1B5977"/>
    <w:rsid w:val="FB9C708D"/>
    <w:rsid w:val="FBF62448"/>
    <w:rsid w:val="FBF76486"/>
    <w:rsid w:val="FBFE62D0"/>
    <w:rsid w:val="FBFF7DC7"/>
    <w:rsid w:val="FC37AF17"/>
    <w:rsid w:val="FCBFFE1B"/>
    <w:rsid w:val="FCDE5A6F"/>
    <w:rsid w:val="FCFE5638"/>
    <w:rsid w:val="FCFF1FE1"/>
    <w:rsid w:val="FD7C7175"/>
    <w:rsid w:val="FDD7319B"/>
    <w:rsid w:val="FDDE4FF7"/>
    <w:rsid w:val="FDEE23F1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3C5BB"/>
    <w:rsid w:val="FFF5DAD0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widowControl w:val="0"/>
      <w:spacing w:before="260" w:after="260" w:line="412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4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toc 1"/>
    <w:basedOn w:val="1"/>
    <w:next w:val="1"/>
    <w:qFormat/>
    <w:uiPriority w:val="0"/>
  </w:style>
  <w:style w:type="paragraph" w:styleId="8">
    <w:name w:val="table of figures"/>
    <w:basedOn w:val="1"/>
    <w:next w:val="1"/>
    <w:qFormat/>
    <w:uiPriority w:val="0"/>
    <w:pPr>
      <w:spacing w:before="100" w:beforeAutospacing="1" w:after="100" w:afterAutospacing="1"/>
      <w:ind w:left="400" w:leftChars="200" w:hanging="200" w:hangingChars="200"/>
    </w:p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3005</Words>
  <Characters>3111</Characters>
  <Lines>0</Lines>
  <Paragraphs>0</Paragraphs>
  <TotalTime>12</TotalTime>
  <ScaleCrop>false</ScaleCrop>
  <LinksUpToDate>false</LinksUpToDate>
  <CharactersWithSpaces>3158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2020-07-13T16:13:00Z</dcterms:created>
  <dc:creator>Administrator</dc:creator>
  <cp:lastModifiedBy>user</cp:lastModifiedBy>
  <cp:lastPrinted>2016-02-14T19:32:00Z</cp:lastPrinted>
  <dcterms:modified xsi:type="dcterms:W3CDTF">2024-09-25T11:52:07Z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D0091BF748A84A1CBCEB906C422655FC_13</vt:lpwstr>
  </property>
</Properties>
</file>