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仿宋_GB2312" w:hAnsi="黑体" w:eastAsia="仿宋_GB2312" w:cs="方正小标宋简体"/>
          <w:b/>
          <w:sz w:val="32"/>
          <w:szCs w:val="32"/>
        </w:rPr>
      </w:pPr>
      <w:r>
        <w:rPr>
          <w:rFonts w:hint="eastAsia" w:ascii="仿宋_GB2312" w:hAnsi="黑体" w:eastAsia="仿宋_GB2312" w:cs="方正小标宋简体"/>
          <w:b/>
          <w:sz w:val="32"/>
          <w:szCs w:val="32"/>
        </w:rPr>
        <w:t>2018年</w:t>
      </w:r>
      <w:r>
        <w:rPr>
          <w:rFonts w:hint="eastAsia" w:ascii="仿宋_GB2312" w:hAnsi="黑体" w:eastAsia="仿宋_GB2312" w:cs="方正小标宋简体"/>
          <w:b/>
          <w:sz w:val="32"/>
          <w:szCs w:val="32"/>
          <w:lang w:eastAsia="zh-CN"/>
        </w:rPr>
        <w:t>扶贫和移民工作局</w:t>
      </w:r>
      <w:r>
        <w:rPr>
          <w:rFonts w:hint="eastAsia" w:ascii="仿宋_GB2312" w:hAnsi="黑体" w:eastAsia="仿宋_GB2312" w:cs="方正小标宋简体"/>
          <w:b/>
          <w:sz w:val="32"/>
          <w:szCs w:val="32"/>
        </w:rPr>
        <w:t>项目支出绩效评价报告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一、评价工作开展及项目情况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2018年中、省财政专项扶贫发展资金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二、评价结论及绩效分析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（一）评价结论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left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结合我县脱贫攻坚实际，围绕脱贫攻坚目标任务精准使用资金要求，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育提升种养加、果蔬药、游购娱等支柱产业和贫困户种养殖所需生产资料。建设养殖业基地、种植业基地、乡村旅游产业、基础设施、农畜产品核心基地建设、扶持贫专合组织、龙头企业、特色农业品牌建设、能力建设等项目;以及支柱产业所需的小型渠系设施、机耕道、生产便道（牧道）等配套设施建设；建立产业项目推进激励机制，采用以项目奖项目的方式，给予产业培育项目的方式鼓励在巩固提升期间产业项目实施情况好，推进有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通过项目实施产业培育项目提升贫困户收入，人均年收入达到贫困线以上。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（二）绩效分析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1、项目决策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2018年扶贫开发局监管实施全县17个乡镇124个农村基础设施建设项目，牵头组织实施太阳能路灯采购及资产收益项目，资金统筹保障5个产业发展项目（藏香猪、白猪、凤尾鸡、中蜂、黄牛或牦牛）。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2、项目管理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2018年到位第二批中、省财政专项扶贫发展资金阿州财农〔2018〕59号4015万元。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其构成为4015含易地扶贫搬迁贴息资金67.4万元、资产收益资金150万元。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3、项目绩效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阿州财农（2017）171号项目资金截止2018年12月31日共计拨付4015万元（含统筹支付交通局缺口3375.261275万元）。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2018年，我们立足县情实际，把握基本原则，遵循客观规律，靠实政治责任，压实工作责任，如期完成年度目标目标任务。扶贫开发项目实施的任务村的贫困发生率均低于3%，集体经济、硬化路、卫生室、文化室、网络全覆盖，实现“一低五有”，27个贫困村如期退出。799户2666名贫困人口，人纯收入达到3600元以上，吃穿不愁，有住房保障、教育保障、医疗保障，有广播电视、安全饮水、生产用电，实现了“两不愁、三保障、三有”，贫困群众顺利脱贫，脱贫攻坚实现连战连胜。</w:t>
      </w:r>
    </w:p>
    <w:p>
      <w:pPr>
        <w:numPr>
          <w:numId w:val="0"/>
        </w:numPr>
        <w:spacing w:line="58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三、</w:t>
      </w:r>
      <w:r>
        <w:rPr>
          <w:rFonts w:hint="eastAsia" w:ascii="仿宋_GB2312" w:hAnsi="仿宋" w:eastAsia="仿宋_GB2312" w:cs="仿宋_GB2312"/>
          <w:sz w:val="32"/>
          <w:szCs w:val="32"/>
        </w:rPr>
        <w:t>存在主要问题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无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/>
          <w:sz w:val="30"/>
          <w:szCs w:val="30"/>
          <w:lang w:val="en-US" w:eastAsia="zh-CN"/>
        </w:rPr>
        <w:t>四</w:t>
      </w:r>
      <w:r>
        <w:rPr>
          <w:rFonts w:hint="eastAsia"/>
          <w:lang w:val="en-US" w:eastAsia="zh-CN"/>
        </w:rPr>
        <w:t>、</w:t>
      </w:r>
      <w:r>
        <w:rPr>
          <w:rFonts w:hint="eastAsia" w:ascii="仿宋_GB2312" w:hAnsi="仿宋" w:eastAsia="仿宋_GB2312" w:cs="仿宋_GB2312"/>
          <w:sz w:val="32"/>
          <w:szCs w:val="32"/>
        </w:rPr>
        <w:t>相关措施建议</w:t>
      </w:r>
    </w:p>
    <w:p>
      <w:pPr>
        <w:pStyle w:val="2"/>
        <w:numPr>
          <w:ilvl w:val="0"/>
          <w:numId w:val="0"/>
        </w:numPr>
        <w:ind w:left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22EC"/>
    <w:rsid w:val="004C22EC"/>
    <w:rsid w:val="007B38C6"/>
    <w:rsid w:val="0B15338A"/>
    <w:rsid w:val="0BEC5DD6"/>
    <w:rsid w:val="0BF657ED"/>
    <w:rsid w:val="149E6F66"/>
    <w:rsid w:val="1B6E1054"/>
    <w:rsid w:val="533C220C"/>
    <w:rsid w:val="6FA8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spacing w:before="100" w:beforeAutospacing="1" w:after="100" w:afterAutospacing="1"/>
      <w:ind w:leftChars="200" w:hanging="200" w:hangingChars="200"/>
    </w:pPr>
    <w:rPr>
      <w:kern w:val="0"/>
      <w:sz w:val="20"/>
      <w:szCs w:val="21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3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50</Words>
  <Characters>290</Characters>
  <Lines>2</Lines>
  <Paragraphs>1</Paragraphs>
  <TotalTime>1</TotalTime>
  <ScaleCrop>false</ScaleCrop>
  <LinksUpToDate>false</LinksUpToDate>
  <CharactersWithSpaces>339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2019-08-19T01:06:00Z</dcterms:created>
  <dc:creator>Sky123.Org</dc:creator>
  <cp:lastModifiedBy>Administrator</cp:lastModifiedBy>
  <dcterms:modified xsi:type="dcterms:W3CDTF">2019-09-04T01:21:04Z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