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黑水县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扶贫和移民工作局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关于“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2018年决算支出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增减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8.3%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仿宋" w:eastAsia="仿宋_GB2312"/>
          <w:sz w:val="30"/>
          <w:szCs w:val="30"/>
        </w:rPr>
        <w:t>201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我局厉行节约，严格控制三公经费，严格按照预算执行三公经费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9.89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36.89%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>201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</w:rPr>
        <w:t>年我局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厉行节约，严格控制三公经费，严格按照预算执行三公经费开支（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2017年我局公务用车运行维护费预算数为20万元，2018年我局公务用车运行维护费为10万元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9.89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单位正常运行中下乡、出差等产生的燃油费、保险费、维修费、过路过桥费、洗车等费用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黑水县扶贫和移民工作局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9.89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D8C6C5E"/>
    <w:rsid w:val="17B5491F"/>
    <w:rsid w:val="1A435F77"/>
    <w:rsid w:val="38BB34C3"/>
    <w:rsid w:val="48F96E1F"/>
    <w:rsid w:val="6EB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19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2019-09-04T01:39:17Z</cp:lastPrinted>
  <dcterms:modified xsi:type="dcterms:W3CDTF">2019-09-04T02:24:58Z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