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-1275080</wp:posOffset>
            </wp:positionH>
            <wp:positionV relativeFrom="paragraph">
              <wp:posOffset>-1737360</wp:posOffset>
            </wp:positionV>
            <wp:extent cx="7510145" cy="4227195"/>
            <wp:effectExtent l="0" t="0" r="0" b="0"/>
            <wp:wrapNone/>
            <wp:docPr id="4" name="图片 1" desc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_01"/>
                    <pic:cNvPicPr>
                      <a:picLocks noChangeAspect="1"/>
                    </pic:cNvPicPr>
                  </pic:nvPicPr>
                  <pic:blipFill>
                    <a:blip r:embed="rId5"/>
                    <a:stretch>
                      <a:fillRect/>
                    </a:stretch>
                  </pic:blipFill>
                  <pic:spPr>
                    <a:xfrm>
                      <a:off x="0" y="0"/>
                      <a:ext cx="7510145" cy="4227195"/>
                    </a:xfrm>
                    <a:prstGeom prst="rect">
                      <a:avLst/>
                    </a:prstGeom>
                    <a:noFill/>
                    <a:ln w="9525" cap="flat" cmpd="sng">
                      <a:noFill/>
                      <a:prstDash val="solid"/>
                      <a:round/>
                    </a:ln>
                  </pic:spPr>
                </pic:pic>
              </a:graphicData>
            </a:graphic>
          </wp:anchor>
        </w:drawing>
      </w: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both"/>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微软雅黑" w:hAnsi="微软雅黑" w:eastAsia="微软雅黑" w:cs="微软雅黑"/>
          <w:color w:val="auto"/>
          <w:kern w:val="2"/>
          <w:sz w:val="44"/>
          <w:szCs w:val="44"/>
          <w:highlight w:val="none"/>
          <w:lang w:val="en-US" w:eastAsia="zh-CN"/>
        </w:rPr>
      </w:pP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eastAsia" w:ascii="微软雅黑" w:hAnsi="微软雅黑" w:eastAsia="微软雅黑" w:cs="微软雅黑"/>
          <w:color w:val="auto"/>
          <w:kern w:val="2"/>
          <w:sz w:val="44"/>
          <w:szCs w:val="44"/>
          <w:highlight w:val="none"/>
          <w:lang w:val="en-US" w:eastAsia="zh-CN"/>
        </w:rPr>
      </w:pPr>
      <w:r>
        <w:rPr>
          <w:rFonts w:hint="eastAsia" w:ascii="微软雅黑" w:hAnsi="微软雅黑" w:eastAsia="微软雅黑" w:cs="微软雅黑"/>
          <w:color w:val="auto"/>
          <w:kern w:val="2"/>
          <w:sz w:val="44"/>
          <w:szCs w:val="44"/>
          <w:highlight w:val="none"/>
          <w:lang w:val="en-US" w:eastAsia="zh-CN"/>
        </w:rPr>
        <w:t>黑水县乡村振兴局</w:t>
      </w:r>
    </w:p>
    <w:p>
      <w:pPr>
        <w:pStyle w:val="12"/>
        <w:keepNext w:val="0"/>
        <w:keepLines w:val="0"/>
        <w:pageBreakBefore w:val="0"/>
        <w:widowControl w:val="0"/>
        <w:kinsoku/>
        <w:wordWrap/>
        <w:overflowPunct/>
        <w:topLinePunct w:val="0"/>
        <w:autoSpaceDE/>
        <w:autoSpaceDN/>
        <w:bidi w:val="0"/>
        <w:spacing w:line="578" w:lineRule="exact"/>
        <w:ind w:left="0" w:leftChars="0"/>
        <w:jc w:val="center"/>
        <w:textAlignment w:val="auto"/>
        <w:rPr>
          <w:rFonts w:hint="default" w:ascii="仿宋" w:hAnsi="仿宋" w:eastAsia="仿宋" w:cs="仿宋"/>
          <w:sz w:val="32"/>
          <w:szCs w:val="32"/>
          <w:highlight w:val="none"/>
          <w:lang w:val="zh-CN" w:eastAsia="zh-CN"/>
        </w:rPr>
      </w:pPr>
      <w:r>
        <w:rPr>
          <w:rFonts w:hint="eastAsia" w:ascii="微软雅黑" w:hAnsi="微软雅黑" w:eastAsia="微软雅黑" w:cs="微软雅黑"/>
          <w:color w:val="auto"/>
          <w:kern w:val="2"/>
          <w:sz w:val="44"/>
          <w:szCs w:val="44"/>
          <w:highlight w:val="none"/>
          <w:lang w:val="en-US" w:eastAsia="zh-CN"/>
        </w:rPr>
        <w:t>一季度大中型水库移民后期扶持直发直补专项预算项目绩效评价报告</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ascii="黑体" w:hAnsi="宋体" w:eastAsia="黑体"/>
          <w:highlight w:val="none"/>
          <w:lang w:val="zh-CN"/>
        </w:rPr>
      </w:pPr>
      <w:r>
        <w:rPr>
          <w:rFonts w:hint="eastAsia" w:ascii="黑体" w:hAnsi="宋体" w:eastAsia="黑体"/>
          <w:highlight w:val="none"/>
        </w:rPr>
        <w:t>一、</w:t>
      </w:r>
      <w:r>
        <w:rPr>
          <w:rFonts w:hint="eastAsia" w:ascii="黑体" w:hAnsi="宋体" w:eastAsia="黑体"/>
          <w:highlight w:val="none"/>
          <w:lang w:val="zh-CN"/>
        </w:rPr>
        <w:t>项目概况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（一）设立背景及基本情况。</w:t>
      </w:r>
      <w:r>
        <w:rPr>
          <w:rFonts w:hint="eastAsia" w:ascii="仿宋GB231" w:hAnsi="仿宋GB231" w:eastAsia="仿宋GB231" w:cs="仿宋GB231"/>
          <w:color w:val="auto"/>
          <w:kern w:val="2"/>
          <w:sz w:val="32"/>
          <w:szCs w:val="32"/>
          <w:lang w:val="en-US" w:eastAsia="zh-CN" w:bidi="ar-SA"/>
        </w:rPr>
        <w:t>2023年度通过移民所涉及的乡镇，按照《移民后期扶持人口管理办法》对辖区内的移民后期扶持人口进行动态管理，上报水务局进行当季度移民后期扶持直发直补资金的核算并报州水务局进行审核，此次针对2023年第一季度的直发直补资金发放，涉及移民后期扶持人口2929人。第一季度移民后期扶持直发直补资金发放补助43.94万元。</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w:t>
      </w:r>
      <w:r>
        <w:rPr>
          <w:rFonts w:hint="eastAsia" w:ascii="楷体_GB2312" w:hAnsi="宋体" w:eastAsia="楷体_GB2312" w:cs="Times New Roman"/>
          <w:b/>
          <w:color w:val="auto"/>
          <w:sz w:val="32"/>
          <w:szCs w:val="32"/>
          <w:highlight w:val="none"/>
          <w:u w:val="none"/>
          <w:lang w:val="zh-CN"/>
        </w:rPr>
        <w:t>二）</w:t>
      </w:r>
      <w:r>
        <w:rPr>
          <w:rFonts w:hint="default" w:ascii="楷体_GB2312" w:hAnsi="宋体" w:eastAsia="楷体_GB2312" w:cs="Times New Roman"/>
          <w:b/>
          <w:color w:val="auto"/>
          <w:sz w:val="32"/>
          <w:szCs w:val="32"/>
          <w:highlight w:val="none"/>
          <w:u w:val="none"/>
          <w:lang w:val="en-US" w:eastAsia="zh-CN"/>
        </w:rPr>
        <w:t>实施目的及支持方向</w:t>
      </w:r>
      <w:r>
        <w:rPr>
          <w:rFonts w:hint="eastAsia" w:ascii="楷体_GB2312" w:hAnsi="宋体" w:eastAsia="楷体_GB2312" w:cs="Times New Roman"/>
          <w:b/>
          <w:color w:val="auto"/>
          <w:sz w:val="32"/>
          <w:szCs w:val="32"/>
          <w:highlight w:val="none"/>
          <w:u w:val="none"/>
          <w:lang w:val="en-US" w:eastAsia="zh-CN"/>
        </w:rPr>
        <w:t>。</w:t>
      </w:r>
      <w:r>
        <w:rPr>
          <w:rFonts w:hint="eastAsia" w:ascii="仿宋GB231" w:hAnsi="仿宋GB231" w:eastAsia="仿宋GB231" w:cs="仿宋GB231"/>
          <w:color w:val="auto"/>
          <w:kern w:val="2"/>
          <w:sz w:val="32"/>
          <w:szCs w:val="32"/>
          <w:lang w:val="zh-CN" w:eastAsia="zh-CN" w:bidi="ar-SA"/>
        </w:rPr>
        <w:t>按照《移民后期扶持资金管理办法》进行资金管理，为改善移民安置点生活生产条件，实施了该项目，支持方向为移民后期扶持补助。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2" w:firstLineChars="200"/>
        <w:contextualSpacing/>
        <w:jc w:val="left"/>
        <w:textAlignment w:val="auto"/>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（三）</w:t>
      </w:r>
      <w:r>
        <w:rPr>
          <w:rFonts w:hint="default" w:ascii="楷体_GB2312" w:hAnsi="宋体" w:eastAsia="楷体_GB2312" w:cs="Times New Roman"/>
          <w:b/>
          <w:color w:val="auto"/>
          <w:sz w:val="32"/>
          <w:szCs w:val="32"/>
          <w:highlight w:val="none"/>
          <w:u w:val="none"/>
          <w:lang w:val="en-US" w:eastAsia="zh-CN"/>
        </w:rPr>
        <w:t>预算安排及分配管理</w:t>
      </w:r>
      <w:r>
        <w:rPr>
          <w:rFonts w:hint="eastAsia" w:ascii="楷体_GB2312" w:hAnsi="宋体" w:eastAsia="楷体_GB2312" w:cs="Times New Roman"/>
          <w:b/>
          <w:color w:val="auto"/>
          <w:sz w:val="32"/>
          <w:szCs w:val="32"/>
          <w:highlight w:val="none"/>
          <w:u w:val="none"/>
          <w:lang w:val="zh-CN" w:eastAsia="zh-CN"/>
        </w:rPr>
        <w:t>。</w:t>
      </w:r>
      <w:r>
        <w:rPr>
          <w:rFonts w:hint="eastAsia" w:ascii="仿宋GB231" w:hAnsi="仿宋GB231" w:eastAsia="仿宋GB231" w:cs="仿宋GB231"/>
          <w:color w:val="auto"/>
          <w:kern w:val="2"/>
          <w:sz w:val="32"/>
          <w:szCs w:val="32"/>
          <w:lang w:val="en-US" w:eastAsia="zh-CN" w:bidi="ar-SA"/>
        </w:rPr>
        <w:t>项目资金（含2022年结余资金）43.94万元为2023年第一季度移民后期扶持直发直补资金，由乡村振兴局代发</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kinsoku/>
        <w:wordWrap/>
        <w:overflowPunct/>
        <w:topLinePunct w:val="0"/>
        <w:autoSpaceDE/>
        <w:autoSpaceDN/>
        <w:bidi w:val="0"/>
        <w:adjustRightInd w:val="0"/>
        <w:snapToGrid w:val="0"/>
        <w:spacing w:line="578" w:lineRule="exact"/>
        <w:ind w:left="0" w:leftChars="0" w:firstLine="642" w:firstLineChars="200"/>
        <w:textAlignment w:val="auto"/>
        <w:rPr>
          <w:rFonts w:hint="default" w:ascii="仿宋GB231" w:hAnsi="仿宋GB231" w:eastAsia="仿宋GB231" w:cs="仿宋GB231"/>
          <w:color w:val="auto"/>
          <w:kern w:val="2"/>
          <w:sz w:val="32"/>
          <w:szCs w:val="32"/>
          <w:lang w:val="zh-CN" w:eastAsia="zh-CN" w:bidi="ar-SA"/>
        </w:rPr>
      </w:pPr>
      <w:r>
        <w:rPr>
          <w:rFonts w:hint="eastAsia" w:ascii="楷体_GB2312" w:hAnsi="宋体" w:eastAsia="楷体_GB2312" w:cs="Times New Roman"/>
          <w:b/>
          <w:color w:val="auto"/>
          <w:sz w:val="32"/>
          <w:szCs w:val="32"/>
          <w:highlight w:val="none"/>
          <w:u w:val="none"/>
          <w:lang w:val="zh-CN" w:eastAsia="zh-CN"/>
        </w:rPr>
        <w:t>（四）项目绩效目标设置。</w:t>
      </w:r>
      <w:r>
        <w:rPr>
          <w:rFonts w:hint="eastAsia" w:ascii="仿宋GB231" w:hAnsi="仿宋GB231" w:eastAsia="仿宋GB231" w:cs="仿宋GB231"/>
          <w:color w:val="auto"/>
          <w:kern w:val="2"/>
          <w:sz w:val="32"/>
          <w:szCs w:val="32"/>
          <w:lang w:val="zh-CN" w:eastAsia="zh-CN" w:bidi="ar-SA"/>
        </w:rPr>
        <w:t>项目整体</w:t>
      </w:r>
      <w:r>
        <w:rPr>
          <w:rFonts w:hint="eastAsia" w:ascii="仿宋GB231" w:hAnsi="仿宋GB231" w:eastAsia="仿宋GB231" w:cs="仿宋GB231"/>
          <w:color w:val="auto"/>
          <w:kern w:val="2"/>
          <w:sz w:val="32"/>
          <w:szCs w:val="32"/>
          <w:lang w:val="en-US" w:eastAsia="zh-CN" w:bidi="ar-SA"/>
        </w:rPr>
        <w:t>设置“三级”指标，其中一级指标包含“通用、专用、个性”3项；二级指标包含“项目决策、项目管理、项目实施、项目结果、基础设施”等5项三级指标包含“决策程序、规划论证、资金投向、制度办法、分配管理、绩效监管、预算执行、资金使用、目标完成、完成时效、项目验收、功能实现、后续管护、规范符合性、程序合规性”等15项。自评工作在局党委的领导下，由局长统筹、分管领导分领域牵头负责，项目实施股室具体开展。</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outlineLvl w:val="9"/>
        <w:rPr>
          <w:rFonts w:hint="eastAsia" w:ascii="黑体" w:hAnsi="宋体" w:eastAsia="黑体"/>
          <w:highlight w:val="none"/>
          <w:lang w:eastAsia="zh-CN"/>
        </w:rPr>
      </w:pPr>
      <w:r>
        <w:rPr>
          <w:rFonts w:hint="eastAsia" w:ascii="黑体" w:hAnsi="宋体" w:eastAsia="黑体"/>
          <w:highlight w:val="none"/>
        </w:rPr>
        <w:t>二、</w:t>
      </w:r>
      <w:r>
        <w:rPr>
          <w:rFonts w:hint="eastAsia" w:ascii="黑体" w:hAnsi="宋体" w:eastAsia="黑体"/>
          <w:highlight w:val="none"/>
          <w:lang w:eastAsia="zh-CN"/>
        </w:rPr>
        <w:t>评价实施</w:t>
      </w:r>
    </w:p>
    <w:p>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（一）评价目的。</w:t>
      </w:r>
      <w:r>
        <w:rPr>
          <w:rFonts w:hint="eastAsia" w:ascii="仿宋GB231" w:hAnsi="仿宋GB231" w:eastAsia="仿宋GB231" w:cs="仿宋GB231"/>
          <w:color w:val="auto"/>
          <w:kern w:val="2"/>
          <w:sz w:val="32"/>
          <w:szCs w:val="32"/>
          <w:lang w:val="en-US" w:eastAsia="zh-CN" w:bidi="ar-SA"/>
        </w:rPr>
        <w:t>运用</w:t>
      </w:r>
      <w:r>
        <w:rPr>
          <w:rFonts w:hint="eastAsia" w:ascii="仿宋GB231" w:hAnsi="仿宋GB231" w:eastAsia="仿宋GB231" w:cs="仿宋GB231"/>
          <w:color w:val="auto"/>
          <w:kern w:val="2"/>
          <w:sz w:val="32"/>
          <w:szCs w:val="32"/>
          <w:lang w:val="zh-CN" w:eastAsia="zh-CN" w:bidi="ar-SA"/>
        </w:rPr>
        <w:t>评价方法、量化指标及评价标准，对</w:t>
      </w:r>
      <w:r>
        <w:rPr>
          <w:rFonts w:hint="eastAsia" w:ascii="仿宋GB231" w:hAnsi="仿宋GB231" w:eastAsia="仿宋GB231" w:cs="仿宋GB231"/>
          <w:color w:val="auto"/>
          <w:kern w:val="2"/>
          <w:sz w:val="32"/>
          <w:szCs w:val="32"/>
          <w:lang w:val="en-US" w:eastAsia="zh-CN" w:bidi="ar-SA"/>
        </w:rPr>
        <w:t>县乡村振兴局</w:t>
      </w:r>
      <w:r>
        <w:rPr>
          <w:rFonts w:hint="eastAsia" w:ascii="仿宋GB231" w:hAnsi="仿宋GB231" w:eastAsia="仿宋GB231" w:cs="仿宋GB231"/>
          <w:color w:val="auto"/>
          <w:kern w:val="2"/>
          <w:sz w:val="32"/>
          <w:szCs w:val="32"/>
          <w:lang w:val="zh-CN" w:eastAsia="zh-CN" w:bidi="ar-SA"/>
        </w:rPr>
        <w:t>实现</w:t>
      </w:r>
      <w:r>
        <w:rPr>
          <w:rFonts w:hint="eastAsia" w:ascii="仿宋GB231" w:hAnsi="仿宋GB231" w:eastAsia="仿宋GB231" w:cs="仿宋GB231"/>
          <w:color w:val="auto"/>
          <w:kern w:val="2"/>
          <w:sz w:val="32"/>
          <w:szCs w:val="32"/>
          <w:lang w:val="en-US" w:eastAsia="zh-CN" w:bidi="ar-SA"/>
        </w:rPr>
        <w:t>直发直补补助资金发放到位这一</w:t>
      </w:r>
      <w:r>
        <w:rPr>
          <w:rFonts w:hint="eastAsia" w:ascii="仿宋GB231" w:hAnsi="仿宋GB231" w:eastAsia="仿宋GB231" w:cs="仿宋GB231"/>
          <w:color w:val="auto"/>
          <w:kern w:val="2"/>
          <w:sz w:val="32"/>
          <w:szCs w:val="32"/>
          <w:lang w:val="zh-CN" w:eastAsia="zh-CN" w:bidi="ar-SA"/>
        </w:rPr>
        <w:t>目标</w:t>
      </w:r>
      <w:r>
        <w:rPr>
          <w:rFonts w:hint="eastAsia" w:ascii="仿宋GB231" w:hAnsi="仿宋GB231" w:eastAsia="仿宋GB231" w:cs="仿宋GB231"/>
          <w:color w:val="auto"/>
          <w:kern w:val="2"/>
          <w:sz w:val="32"/>
          <w:szCs w:val="32"/>
          <w:lang w:val="en-US" w:eastAsia="zh-CN" w:bidi="ar-SA"/>
        </w:rPr>
        <w:t>的</w:t>
      </w:r>
      <w:r>
        <w:rPr>
          <w:rFonts w:hint="eastAsia" w:ascii="仿宋GB231" w:hAnsi="仿宋GB231" w:eastAsia="仿宋GB231" w:cs="仿宋GB231"/>
          <w:color w:val="auto"/>
          <w:kern w:val="2"/>
          <w:sz w:val="32"/>
          <w:szCs w:val="32"/>
          <w:lang w:val="zh-CN" w:eastAsia="zh-CN" w:bidi="ar-SA"/>
        </w:rPr>
        <w:t>预算</w:t>
      </w:r>
      <w:r>
        <w:rPr>
          <w:rFonts w:hint="eastAsia" w:ascii="仿宋GB231" w:hAnsi="仿宋GB231" w:eastAsia="仿宋GB231" w:cs="仿宋GB231"/>
          <w:color w:val="auto"/>
          <w:kern w:val="2"/>
          <w:sz w:val="32"/>
          <w:szCs w:val="32"/>
          <w:lang w:val="en-US" w:eastAsia="zh-CN" w:bidi="ar-SA"/>
        </w:rPr>
        <w:t>安排</w:t>
      </w:r>
      <w:r>
        <w:rPr>
          <w:rFonts w:hint="eastAsia" w:ascii="仿宋GB231" w:hAnsi="仿宋GB231" w:eastAsia="仿宋GB231" w:cs="仿宋GB231"/>
          <w:color w:val="auto"/>
          <w:kern w:val="2"/>
          <w:sz w:val="32"/>
          <w:szCs w:val="32"/>
          <w:lang w:val="zh-CN" w:eastAsia="zh-CN" w:bidi="ar-SA"/>
        </w:rPr>
        <w:t>执行结果进行综合性评价。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（二）预设问题及评价重点。</w:t>
      </w:r>
      <w:r>
        <w:rPr>
          <w:rFonts w:hint="eastAsia" w:ascii="仿宋GB231" w:hAnsi="仿宋GB231" w:eastAsia="仿宋GB231" w:cs="仿宋GB231"/>
          <w:color w:val="auto"/>
          <w:kern w:val="2"/>
          <w:sz w:val="32"/>
          <w:szCs w:val="32"/>
          <w:lang w:val="en-US" w:eastAsia="zh-CN" w:bidi="ar-SA"/>
        </w:rPr>
        <w:t>该项目资金使用、拨付符合国家财经法规、财务管理制度及有关专项资金管理制度办法规定和审批程序，未发现超范围、超标准、超进度使用专项资金情况，不存在资金损失浪费、长期沉淀、截留、挤占、挪用、虚列支出等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（三）评价选点。</w:t>
      </w:r>
      <w:r>
        <w:rPr>
          <w:rFonts w:hint="eastAsia" w:ascii="仿宋GB231" w:hAnsi="仿宋GB231" w:eastAsia="仿宋GB231" w:cs="仿宋GB231"/>
          <w:color w:val="auto"/>
          <w:kern w:val="2"/>
          <w:sz w:val="32"/>
          <w:szCs w:val="32"/>
          <w:lang w:val="zh-CN" w:eastAsia="zh-CN" w:bidi="ar-SA"/>
        </w:rPr>
        <w:t>项目绩效自评所抽样点位</w:t>
      </w:r>
      <w:r>
        <w:rPr>
          <w:rFonts w:hint="eastAsia" w:ascii="仿宋GB231" w:hAnsi="仿宋GB231" w:eastAsia="仿宋GB231" w:cs="仿宋GB231"/>
          <w:color w:val="auto"/>
          <w:kern w:val="2"/>
          <w:sz w:val="32"/>
          <w:szCs w:val="32"/>
          <w:lang w:val="en-US" w:eastAsia="zh-CN" w:bidi="ar-SA"/>
        </w:rPr>
        <w:t>为全县各移民村</w:t>
      </w:r>
      <w:r>
        <w:rPr>
          <w:rFonts w:hint="eastAsia" w:ascii="仿宋GB231" w:hAnsi="仿宋GB231" w:eastAsia="仿宋GB231" w:cs="仿宋GB231"/>
          <w:color w:val="auto"/>
          <w:kern w:val="2"/>
          <w:sz w:val="32"/>
          <w:szCs w:val="32"/>
          <w:lang w:val="zh-CN" w:eastAsia="zh-CN" w:bidi="ar-SA"/>
        </w:rPr>
        <w:t>。</w:t>
      </w:r>
    </w:p>
    <w:p>
      <w:pPr>
        <w:keepNext w:val="0"/>
        <w:keepLines w:val="0"/>
        <w:pageBreakBefore w:val="0"/>
        <w:widowControl w:val="0"/>
        <w:kinsoku/>
        <w:wordWrap/>
        <w:overflowPunct/>
        <w:topLinePunct w:val="0"/>
        <w:autoSpaceDE/>
        <w:autoSpaceDN/>
        <w:bidi w:val="0"/>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eastAsia" w:ascii="楷体_GB2312" w:hAnsi="宋体" w:eastAsia="楷体_GB2312"/>
          <w:b/>
          <w:color w:val="auto"/>
          <w:sz w:val="32"/>
          <w:szCs w:val="32"/>
          <w:highlight w:val="none"/>
          <w:u w:val="none"/>
          <w:lang w:val="zh-CN"/>
        </w:rPr>
        <w:t>（四）评价方法。</w:t>
      </w:r>
      <w:r>
        <w:rPr>
          <w:rFonts w:hint="eastAsia" w:ascii="仿宋GB231" w:hAnsi="仿宋GB231" w:eastAsia="仿宋GB231" w:cs="仿宋GB231"/>
          <w:color w:val="auto"/>
          <w:kern w:val="2"/>
          <w:sz w:val="32"/>
          <w:szCs w:val="32"/>
          <w:lang w:val="en-US" w:eastAsia="zh-CN" w:bidi="ar-SA"/>
        </w:rPr>
        <w:t>评价方法采用</w:t>
      </w:r>
      <w:r>
        <w:rPr>
          <w:rFonts w:hint="eastAsia" w:ascii="仿宋GB231" w:hAnsi="仿宋GB231" w:eastAsia="仿宋GB231" w:cs="仿宋GB231"/>
          <w:color w:val="auto"/>
          <w:kern w:val="2"/>
          <w:sz w:val="32"/>
          <w:szCs w:val="32"/>
          <w:lang w:val="zh-CN" w:eastAsia="zh-CN" w:bidi="ar-SA"/>
        </w:rPr>
        <w:t>单位自评法、实地勘察法、问卷调查法、座谈调研法等。</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b/>
          <w:color w:val="auto"/>
          <w:sz w:val="32"/>
          <w:szCs w:val="32"/>
          <w:highlight w:val="none"/>
          <w:u w:val="none"/>
          <w:lang w:val="zh-CN"/>
        </w:rPr>
        <w:t>（五）评价组织。</w:t>
      </w:r>
      <w:r>
        <w:rPr>
          <w:rFonts w:eastAsia="仿宋_GB2312" w:cs="Times New Roman"/>
          <w:szCs w:val="32"/>
        </w:rPr>
        <w:t>评价组人员构成</w:t>
      </w:r>
      <w:r>
        <w:rPr>
          <w:rFonts w:hint="eastAsia" w:cs="Times New Roman"/>
          <w:szCs w:val="32"/>
          <w:lang w:eastAsia="zh-CN"/>
        </w:rPr>
        <w:t>和</w:t>
      </w:r>
      <w:r>
        <w:rPr>
          <w:rFonts w:eastAsia="仿宋_GB2312" w:cs="Times New Roman"/>
          <w:szCs w:val="32"/>
        </w:rPr>
        <w:t>职责分工</w:t>
      </w:r>
      <w:r>
        <w:rPr>
          <w:rFonts w:hint="eastAsia" w:cs="Times New Roman"/>
          <w:szCs w:val="32"/>
          <w:lang w:eastAsia="zh-CN"/>
        </w:rPr>
        <w:t>。我局</w:t>
      </w:r>
      <w:r>
        <w:rPr>
          <w:rFonts w:hint="eastAsia" w:ascii="仿宋" w:hAnsi="仿宋" w:eastAsia="仿宋" w:cs="仿宋"/>
          <w:b w:val="0"/>
          <w:bCs w:val="0"/>
          <w:sz w:val="32"/>
          <w:szCs w:val="32"/>
          <w:lang w:val="zh-CN" w:eastAsia="zh-CN"/>
        </w:rPr>
        <w:t>成立了由主要领导任组长，分管领导和项目股工作人员任成员的工作组织架构</w:t>
      </w:r>
      <w:r>
        <w:rPr>
          <w:rFonts w:hint="eastAsia" w:ascii="仿宋GB231" w:hAnsi="仿宋GB231" w:eastAsia="仿宋GB231" w:cs="仿宋GB231"/>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lang w:val="en-US" w:eastAsia="zh-CN"/>
        </w:rPr>
      </w:pPr>
      <w:r>
        <w:rPr>
          <w:rFonts w:hint="eastAsia" w:ascii="黑体" w:hAnsi="宋体" w:eastAsia="黑体"/>
          <w:color w:val="auto"/>
          <w:sz w:val="32"/>
          <w:szCs w:val="32"/>
          <w:highlight w:val="none"/>
          <w:u w:val="none"/>
        </w:rPr>
        <w:t>三、</w:t>
      </w:r>
      <w:r>
        <w:rPr>
          <w:rFonts w:hint="eastAsia" w:ascii="黑体" w:hAnsi="宋体" w:eastAsia="黑体"/>
          <w:color w:val="auto"/>
          <w:sz w:val="32"/>
          <w:szCs w:val="32"/>
          <w:highlight w:val="none"/>
          <w:u w:val="none"/>
          <w:lang w:eastAsia="zh-CN"/>
        </w:rPr>
        <w:t>绩效分析</w:t>
      </w:r>
      <w:r>
        <w:rPr>
          <w:rFonts w:hint="eastAsia" w:ascii="黑体" w:hAnsi="宋体" w:eastAsia="黑体"/>
          <w:color w:val="auto"/>
          <w:sz w:val="32"/>
          <w:szCs w:val="32"/>
          <w:highlight w:val="none"/>
          <w:u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仿宋_GB2312" w:hAnsi="宋体"/>
          <w:color w:val="auto"/>
          <w:sz w:val="32"/>
          <w:szCs w:val="32"/>
          <w:highlight w:val="none"/>
          <w:u w:val="none"/>
          <w:lang w:val="zh-CN"/>
        </w:rPr>
      </w:pPr>
      <w:r>
        <w:rPr>
          <w:rFonts w:hint="eastAsia"/>
          <w:lang w:val="en-US" w:eastAsia="zh-CN"/>
        </w:rPr>
        <w:t>我单位</w:t>
      </w:r>
      <w:r>
        <w:rPr>
          <w:rFonts w:hint="eastAsia" w:ascii="仿宋GB231" w:hAnsi="仿宋GB231" w:eastAsia="仿宋GB231" w:cs="仿宋GB231"/>
          <w:color w:val="auto"/>
          <w:kern w:val="2"/>
          <w:sz w:val="32"/>
          <w:szCs w:val="32"/>
          <w:lang w:val="en-US" w:eastAsia="zh-CN" w:bidi="ar-SA"/>
        </w:rPr>
        <w:t>移民后期扶持直发直补资金项目</w:t>
      </w:r>
      <w:r>
        <w:rPr>
          <w:rFonts w:hint="eastAsia"/>
          <w:lang w:val="en-US" w:eastAsia="zh-CN"/>
        </w:rPr>
        <w:t>绩效评价总分为</w:t>
      </w:r>
      <w:r>
        <w:rPr>
          <w:rFonts w:hint="eastAsia" w:ascii="仿宋GB231" w:hAnsi="仿宋GB231" w:eastAsia="仿宋GB231" w:cs="仿宋GB231"/>
          <w:color w:val="auto"/>
          <w:kern w:val="2"/>
          <w:sz w:val="32"/>
          <w:szCs w:val="32"/>
          <w:lang w:val="en-US" w:eastAsia="zh-CN" w:bidi="ar-SA"/>
        </w:rPr>
        <w:t>99.5分。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楷体_GB2312" w:hAnsi="宋体" w:eastAsia="楷体_GB2312" w:cs="Times New Roman"/>
          <w:b/>
          <w:color w:val="auto"/>
          <w:sz w:val="32"/>
          <w:szCs w:val="32"/>
          <w:highlight w:val="none"/>
          <w:u w:val="none"/>
          <w:lang w:val="en-US" w:eastAsia="zh-CN"/>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得分：54分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1.</w:t>
      </w:r>
      <w:r>
        <w:rPr>
          <w:rFonts w:hint="eastAsia" w:ascii="仿宋_GB2312" w:hAnsi="仿宋_GB2312" w:eastAsia="仿宋_GB2312" w:cs="仿宋_GB2312"/>
          <w:b/>
          <w:bCs/>
          <w:color w:val="auto"/>
          <w:szCs w:val="32"/>
          <w:lang w:eastAsia="zh-CN"/>
        </w:rPr>
        <w:t>项目决策。</w:t>
      </w:r>
      <w:r>
        <w:rPr>
          <w:rFonts w:hint="eastAsia" w:ascii="仿宋GB231" w:hAnsi="仿宋GB231" w:eastAsia="仿宋GB231" w:cs="仿宋GB231"/>
          <w:color w:val="auto"/>
          <w:kern w:val="2"/>
          <w:sz w:val="32"/>
          <w:szCs w:val="32"/>
          <w:lang w:val="en-US" w:eastAsia="zh-CN" w:bidi="ar-SA"/>
        </w:rPr>
        <w:t>项目设立、调整延续等方面符合资金管理基本规范和决策程序，规划符合中央、省委省政府有关决策部署安排，属于政府支持范围，且符合财政事权支出责任划分规定，资金投向与项目总体规划、相关行业事业发展相匹配，体现“集中力量办大事”原则，未与其他同类项目或部门内部相关项目交叉重复。（得分：18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（1）决策程序：项目决策程序严密。（得分：6分）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default" w:ascii="仿宋GB231" w:hAnsi="仿宋GB231" w:eastAsia="仿宋GB231" w:cs="仿宋GB231"/>
          <w:color w:val="auto"/>
          <w:kern w:val="2"/>
          <w:sz w:val="32"/>
          <w:szCs w:val="32"/>
          <w:lang w:val="en-US" w:eastAsia="zh-CN" w:bidi="ar-SA"/>
        </w:rPr>
        <w:t>规划论证</w:t>
      </w:r>
      <w:r>
        <w:rPr>
          <w:rFonts w:hint="eastAsia" w:ascii="仿宋GB231" w:hAnsi="仿宋GB231" w:eastAsia="仿宋GB231" w:cs="仿宋GB231"/>
          <w:color w:val="auto"/>
          <w:kern w:val="2"/>
          <w:sz w:val="32"/>
          <w:szCs w:val="32"/>
          <w:lang w:val="en-US" w:eastAsia="zh-CN" w:bidi="ar-SA"/>
        </w:rPr>
        <w:t>：</w:t>
      </w:r>
      <w:r>
        <w:rPr>
          <w:rFonts w:hint="default" w:ascii="仿宋GB231" w:hAnsi="仿宋GB231" w:eastAsia="仿宋GB231" w:cs="仿宋GB231"/>
          <w:color w:val="auto"/>
          <w:kern w:val="2"/>
          <w:sz w:val="32"/>
          <w:szCs w:val="32"/>
          <w:lang w:val="en-US" w:eastAsia="zh-CN" w:bidi="ar-SA"/>
        </w:rPr>
        <w:t>项目规划论证符合</w:t>
      </w:r>
      <w:r>
        <w:rPr>
          <w:rFonts w:hint="eastAsia" w:ascii="仿宋GB231" w:hAnsi="仿宋GB231" w:eastAsia="仿宋GB231" w:cs="仿宋GB231"/>
          <w:color w:val="auto"/>
          <w:kern w:val="2"/>
          <w:sz w:val="32"/>
          <w:szCs w:val="32"/>
          <w:lang w:val="en-US" w:eastAsia="zh-CN" w:bidi="ar-SA"/>
        </w:rPr>
        <w:t>中央、省委</w:t>
      </w:r>
      <w:r>
        <w:rPr>
          <w:rFonts w:hint="default" w:ascii="仿宋GB231" w:hAnsi="仿宋GB231" w:eastAsia="仿宋GB231" w:cs="仿宋GB231"/>
          <w:color w:val="auto"/>
          <w:kern w:val="2"/>
          <w:sz w:val="32"/>
          <w:szCs w:val="32"/>
          <w:lang w:val="en-US" w:eastAsia="zh-CN" w:bidi="ar-SA"/>
        </w:rPr>
        <w:t>要求，项目绩效目标设置科学合理</w:t>
      </w:r>
      <w:r>
        <w:rPr>
          <w:rFonts w:hint="eastAsia" w:ascii="仿宋GB231" w:hAnsi="仿宋GB231" w:eastAsia="仿宋GB231" w:cs="仿宋GB231"/>
          <w:color w:val="auto"/>
          <w:kern w:val="2"/>
          <w:sz w:val="32"/>
          <w:szCs w:val="32"/>
          <w:lang w:val="en-US" w:eastAsia="zh-CN" w:bidi="ar-SA"/>
        </w:rPr>
        <w:t>。（得分：6分）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（3）资金投向：项目资金与项目总体规划、相关行业事业发展相匹配，聚焦重大任务、重点领域、重点环节和重点项目。（得分：6分）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cs="仿宋_GB2312"/>
          <w:b/>
          <w:bCs/>
          <w:color w:val="auto"/>
          <w:szCs w:val="32"/>
          <w:lang w:val="en-US" w:eastAsia="zh-CN"/>
        </w:rPr>
        <w:t>2.</w:t>
      </w:r>
      <w:r>
        <w:rPr>
          <w:rFonts w:hint="eastAsia" w:ascii="仿宋_GB2312" w:hAnsi="仿宋_GB2312" w:eastAsia="仿宋_GB2312" w:cs="仿宋_GB2312"/>
          <w:b/>
          <w:bCs/>
          <w:color w:val="auto"/>
          <w:szCs w:val="32"/>
          <w:lang w:eastAsia="zh-CN"/>
        </w:rPr>
        <w:t>项目管理。</w:t>
      </w:r>
      <w:r>
        <w:rPr>
          <w:rFonts w:hint="eastAsia" w:ascii="仿宋GB231" w:hAnsi="仿宋GB231" w:eastAsia="仿宋GB231" w:cs="仿宋GB231"/>
          <w:color w:val="auto"/>
          <w:kern w:val="2"/>
          <w:sz w:val="32"/>
          <w:szCs w:val="32"/>
          <w:lang w:val="en-US" w:eastAsia="zh-CN" w:bidi="ar-SA"/>
        </w:rPr>
        <w:t>资金管理办法等管理制度体系健全完善，无管理制度缺失、管理办法过期情况，资金分配充分考虑了行业事业发展实际和发展需求有效突出了项目实施重点，区域分布结果公平合理；创建了项目储备库，实行入库项目动态管理、推动资金竞争性分配，项目申报和资金分配符合规定；全面完成了事前评估、绩效评价等预算绩效管理工作（得分：18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（1）制度办法：项目制度办法体系健全、要素完备。（得分：2分）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（2）分配管理：项目资金分配因素选取、权重设置、区域分布，项目管理、审批符合管理要求（得分：10分）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（3）绩效监管：管项目绩效监管按要求开展，对下指导有力有效。（得分：6分）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_GB2312" w:hAnsi="仿宋_GB2312" w:eastAsia="仿宋_GB2312" w:cs="仿宋_GB2312"/>
          <w:b/>
          <w:bCs/>
          <w:color w:val="auto"/>
          <w:szCs w:val="32"/>
          <w:lang w:val="en-US" w:eastAsia="zh-CN"/>
        </w:rPr>
        <w:t>3.项目实施。</w:t>
      </w:r>
      <w:r>
        <w:rPr>
          <w:rFonts w:hint="eastAsia" w:ascii="仿宋GB231" w:hAnsi="仿宋GB231" w:eastAsia="仿宋GB231" w:cs="仿宋GB231"/>
          <w:color w:val="auto"/>
          <w:kern w:val="2"/>
          <w:sz w:val="32"/>
          <w:szCs w:val="32"/>
          <w:lang w:val="en-US" w:eastAsia="zh-CN" w:bidi="ar-SA"/>
        </w:rPr>
        <w:t>项目资金使用、拨付符合国家财经法规、不存在超范围、超标准、超进度使用专项资金以及资金损失浪费、长期沉淀、截留、挤占、挪用、虚列支出等问题，项目实施是否遵守相关法律法规，未发现处不合规的。（得分：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（1）预算执行：项目资金财政拨付、单位执行和地方配套到位情况良好。（得分：6分）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（2）资金使用：资金使用拨付、项目实施符合规定（得分：3分）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GB231" w:hAnsi="仿宋GB231" w:eastAsia="仿宋GB231" w:cs="仿宋GB231"/>
          <w:color w:val="auto"/>
          <w:kern w:val="2"/>
          <w:sz w:val="32"/>
          <w:szCs w:val="32"/>
          <w:lang w:val="en-US" w:eastAsia="zh-CN" w:bidi="ar-SA"/>
        </w:rPr>
      </w:pPr>
      <w:r>
        <w:rPr>
          <w:rFonts w:hint="eastAsia" w:ascii="楷体_GB2312" w:hAnsi="宋体" w:eastAsia="楷体_GB2312" w:cs="Times New Roman"/>
          <w:b/>
          <w:color w:val="auto"/>
          <w:sz w:val="32"/>
          <w:szCs w:val="32"/>
          <w:highlight w:val="none"/>
          <w:u w:val="none"/>
          <w:lang w:val="en-US" w:eastAsia="zh-CN"/>
        </w:rPr>
        <w:t>项目结果。</w:t>
      </w:r>
      <w:r>
        <w:rPr>
          <w:rFonts w:hint="eastAsia" w:ascii="仿宋GB231" w:hAnsi="仿宋GB231" w:eastAsia="仿宋GB231" w:cs="仿宋GB231"/>
          <w:color w:val="auto"/>
          <w:kern w:val="2"/>
          <w:sz w:val="32"/>
          <w:szCs w:val="32"/>
          <w:lang w:val="en-US" w:eastAsia="zh-CN" w:bidi="ar-SA"/>
        </w:rPr>
        <w:t>项目已完成预期目标，实施结果与绩效目标一致，实际完成时间未超出计划完成时间。（得分：9分）                           （1）目标完成：项目完成预期目标，实施结果与绩效目标相匹配，反映目标实现程度（得分：6分）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（2）完成时效：项目实际完成时间与计划完成时间相符合。（得分：3分）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ascii="仿宋GB231" w:hAnsi="仿宋GB231" w:eastAsia="仿宋GB231" w:cs="仿宋GB231"/>
          <w:color w:val="auto"/>
          <w:kern w:val="2"/>
          <w:sz w:val="32"/>
          <w:szCs w:val="32"/>
          <w:lang w:val="en-US" w:eastAsia="zh-CN" w:bidi="ar-SA"/>
        </w:rPr>
        <w:t>（得分：29.5分）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1.</w:t>
      </w:r>
      <w:r>
        <w:rPr>
          <w:rFonts w:hint="eastAsia" w:ascii="楷体_GB2312" w:hAnsi="宋体" w:eastAsia="楷体_GB2312" w:cs="Times New Roman"/>
          <w:b/>
          <w:color w:val="auto"/>
          <w:sz w:val="32"/>
          <w:szCs w:val="32"/>
          <w:highlight w:val="none"/>
          <w:u w:val="none"/>
          <w:lang w:val="en-US" w:eastAsia="zh-CN"/>
        </w:rPr>
        <w:t>产业发展方面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w:t>
      </w:r>
      <w:r>
        <w:rPr>
          <w:rFonts w:hint="eastAsia" w:ascii="楷体_GB2312" w:hAnsi="宋体" w:eastAsia="楷体_GB2312" w:cs="Times New Roman"/>
          <w:b/>
          <w:color w:val="auto"/>
          <w:sz w:val="32"/>
          <w:szCs w:val="32"/>
          <w:highlight w:val="none"/>
          <w:u w:val="none"/>
          <w:lang w:val="zh-CN" w:eastAsia="zh-CN"/>
        </w:rPr>
        <w:t>民生保障方面</w:t>
      </w:r>
      <w:r>
        <w:rPr>
          <w:rFonts w:hint="eastAsia" w:ascii="仿宋GB231" w:hAnsi="仿宋GB231" w:eastAsia="仿宋GB231" w:cs="仿宋GB231"/>
          <w:color w:val="auto"/>
          <w:kern w:val="2"/>
          <w:sz w:val="32"/>
          <w:szCs w:val="32"/>
          <w:lang w:val="en-US" w:eastAsia="zh-CN" w:bidi="ar-SA"/>
        </w:rPr>
        <w:t>。项目资金分配为国家标准的每人每月50元，资金实际支持对象符合管理要求，（得分：10分）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该项目符合支持对象范围，资金实际补贴标准符合资金管理办法规定的补助标准，及时按标准兑现资金（得分：10分）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涉及相关移民受益群体、支持对象的满意度大于95%（得分：9.5分）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3.</w:t>
      </w:r>
      <w:r>
        <w:rPr>
          <w:rFonts w:hint="eastAsia" w:ascii="楷体_GB2312" w:hAnsi="宋体" w:eastAsia="楷体_GB2312" w:cs="Times New Roman"/>
          <w:b/>
          <w:color w:val="auto"/>
          <w:sz w:val="32"/>
          <w:szCs w:val="32"/>
          <w:highlight w:val="none"/>
          <w:u w:val="none"/>
          <w:lang w:val="zh-CN" w:eastAsia="zh-CN"/>
        </w:rPr>
        <w:t>基础设施方面</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该项目不涉及基础设施建设。（得分0分）</w:t>
      </w:r>
    </w:p>
    <w:p>
      <w:pPr>
        <w:pStyle w:val="2"/>
        <w:ind w:firstLine="640" w:firstLineChars="200"/>
        <w:rPr>
          <w:rFonts w:hint="default"/>
          <w:lang w:val="en-US" w:eastAsia="zh-CN"/>
        </w:rPr>
      </w:pPr>
      <w:r>
        <w:rPr>
          <w:rFonts w:hint="eastAsia" w:ascii="仿宋GB231" w:hAnsi="仿宋GB231" w:eastAsia="仿宋GB231" w:cs="仿宋GB231"/>
          <w:color w:val="auto"/>
          <w:kern w:val="2"/>
          <w:sz w:val="32"/>
          <w:szCs w:val="32"/>
          <w:lang w:val="en-US" w:eastAsia="zh-CN" w:bidi="ar-SA"/>
        </w:rPr>
        <w:t>4.</w:t>
      </w:r>
      <w:r>
        <w:rPr>
          <w:rFonts w:hint="eastAsia" w:ascii="楷体_GB2312" w:hAnsi="宋体" w:eastAsia="楷体_GB2312" w:cs="Times New Roman"/>
          <w:b/>
          <w:color w:val="auto"/>
          <w:kern w:val="2"/>
          <w:sz w:val="32"/>
          <w:szCs w:val="32"/>
          <w:highlight w:val="none"/>
          <w:u w:val="none"/>
          <w:lang w:val="en-US" w:eastAsia="zh-CN" w:bidi="ar-SA"/>
        </w:rPr>
        <w:t>行政运转方面</w:t>
      </w:r>
      <w:r>
        <w:rPr>
          <w:rFonts w:hint="eastAsia" w:ascii="仿宋GB231" w:hAnsi="仿宋GB231" w:eastAsia="仿宋GB231" w:cs="仿宋GB231"/>
          <w:color w:val="auto"/>
          <w:kern w:val="2"/>
          <w:sz w:val="32"/>
          <w:szCs w:val="32"/>
          <w:lang w:val="en-US" w:eastAsia="zh-CN" w:bidi="ar-SA"/>
        </w:rPr>
        <w:t>：该项目不涉及产业发展。（得分0分）。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eastAsia" w:ascii="楷体_GB2312" w:hAnsi="宋体" w:eastAsia="楷体_GB2312" w:cs="Times New Roman"/>
          <w:b/>
          <w:color w:val="auto"/>
          <w:sz w:val="32"/>
          <w:szCs w:val="32"/>
          <w:highlight w:val="none"/>
          <w:u w:val="none"/>
          <w:lang w:val="en-US" w:eastAsia="zh-CN"/>
        </w:rPr>
        <w:t>（三）个性指标</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eastAsia" w:eastAsia="楷体_GB2312" w:cs="Times New Roman"/>
          <w:b/>
          <w:bCs/>
          <w:color w:val="000000"/>
          <w:kern w:val="0"/>
          <w:szCs w:val="32"/>
          <w:highlight w:val="none"/>
          <w:shd w:val="clear" w:color="auto" w:fill="FFFFFF"/>
          <w:lang w:val="zh-CN"/>
        </w:rPr>
        <w:t>（</w:t>
      </w:r>
      <w:r>
        <w:rPr>
          <w:rFonts w:hint="eastAsia" w:ascii="仿宋GB231" w:hAnsi="仿宋GB231" w:eastAsia="仿宋GB231" w:cs="仿宋GB231"/>
          <w:color w:val="auto"/>
          <w:kern w:val="2"/>
          <w:sz w:val="32"/>
          <w:szCs w:val="32"/>
          <w:lang w:val="en-US" w:eastAsia="zh-CN" w:bidi="ar-SA"/>
        </w:rPr>
        <w:t>得分：16分</w:t>
      </w:r>
      <w:r>
        <w:rPr>
          <w:rFonts w:hint="eastAsia" w:eastAsia="楷体_GB2312" w:cs="Times New Roman"/>
          <w:b/>
          <w:bCs/>
          <w:color w:val="000000"/>
          <w:kern w:val="0"/>
          <w:szCs w:val="32"/>
          <w:highlight w:val="none"/>
          <w:shd w:val="clear" w:color="auto" w:fill="FFFFFF"/>
          <w:lang w:val="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该项目属于移民后期扶持项目，严格按照《四川省移民后期扶持项目管理办法》进行项目申报及验收</w:t>
      </w:r>
      <w:r>
        <w:rPr>
          <w:rFonts w:hint="eastAsia" w:ascii="仿宋GB231" w:hAnsi="仿宋GB231" w:eastAsia="仿宋GB231" w:cs="仿宋GB231"/>
          <w:color w:val="auto"/>
          <w:kern w:val="2"/>
          <w:sz w:val="32"/>
          <w:szCs w:val="32"/>
          <w:lang w:val="zh-CN" w:eastAsia="zh-CN" w:bidi="ar-SA"/>
        </w:rPr>
        <w:t>。</w:t>
      </w:r>
      <w:r>
        <w:rPr>
          <w:rFonts w:hint="eastAsia" w:ascii="仿宋GB231" w:hAnsi="仿宋GB231" w:eastAsia="仿宋GB231" w:cs="仿宋GB231"/>
          <w:color w:val="auto"/>
          <w:kern w:val="2"/>
          <w:sz w:val="32"/>
          <w:szCs w:val="32"/>
          <w:lang w:val="en-US" w:eastAsia="zh-CN" w:bidi="ar-SA"/>
        </w:rPr>
        <w:t>执行进度：项目如期完成。（得分：5分）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default" w:ascii="仿宋GB231" w:hAnsi="仿宋GB231" w:eastAsia="仿宋GB231" w:cs="仿宋GB231"/>
          <w:color w:val="auto"/>
          <w:kern w:val="2"/>
          <w:sz w:val="32"/>
          <w:szCs w:val="32"/>
          <w:lang w:val="en-US" w:eastAsia="zh-CN" w:bidi="ar-SA"/>
        </w:rPr>
      </w:pPr>
      <w:r>
        <w:rPr>
          <w:rFonts w:hint="default" w:ascii="仿宋GB231" w:hAnsi="仿宋GB231" w:eastAsia="仿宋GB231" w:cs="仿宋GB231"/>
          <w:color w:val="auto"/>
          <w:kern w:val="2"/>
          <w:sz w:val="32"/>
          <w:szCs w:val="32"/>
          <w:lang w:val="en-US" w:eastAsia="zh-CN" w:bidi="ar-SA"/>
        </w:rPr>
        <w:t>资金拨付进度</w:t>
      </w:r>
      <w:r>
        <w:rPr>
          <w:rFonts w:hint="eastAsia" w:ascii="仿宋GB231" w:hAnsi="仿宋GB231" w:eastAsia="仿宋GB231" w:cs="仿宋GB231"/>
          <w:color w:val="auto"/>
          <w:kern w:val="2"/>
          <w:sz w:val="32"/>
          <w:szCs w:val="32"/>
          <w:lang w:val="en-US" w:eastAsia="zh-CN" w:bidi="ar-SA"/>
        </w:rPr>
        <w:t>：资金按期拨付。（得分：5分）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r>
        <w:rPr>
          <w:rFonts w:hint="default" w:ascii="仿宋GB231" w:hAnsi="仿宋GB231" w:eastAsia="仿宋GB231" w:cs="仿宋GB231"/>
          <w:color w:val="auto"/>
          <w:kern w:val="2"/>
          <w:sz w:val="32"/>
          <w:szCs w:val="32"/>
          <w:lang w:val="en-US" w:eastAsia="zh-CN" w:bidi="ar-SA"/>
        </w:rPr>
        <w:t>项目效果</w:t>
      </w:r>
      <w:r>
        <w:rPr>
          <w:rFonts w:hint="eastAsia" w:ascii="仿宋GB231" w:hAnsi="仿宋GB231" w:eastAsia="仿宋GB231" w:cs="仿宋GB231"/>
          <w:color w:val="auto"/>
          <w:kern w:val="2"/>
          <w:sz w:val="32"/>
          <w:szCs w:val="32"/>
          <w:lang w:val="en-US" w:eastAsia="zh-CN" w:bidi="ar-SA"/>
        </w:rPr>
        <w:t>：项目实施后达到预期效果。（得分：6分）</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四</w:t>
      </w:r>
      <w:r>
        <w:rPr>
          <w:rFonts w:hint="eastAsia" w:ascii="黑体" w:hAnsi="宋体" w:eastAsia="黑体"/>
          <w:color w:val="auto"/>
          <w:sz w:val="32"/>
          <w:szCs w:val="32"/>
          <w:highlight w:val="none"/>
          <w:u w:val="none"/>
        </w:rPr>
        <w:t>、评价结论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根据通用指标绩效、专用指标绩效、个性指标绩效3个方面自评分析，该补助用于2023年第一季度，涉及移民后期扶持人口2929人的移民后期扶持直发直补的发放，按每人每月50元的标准，及时发放到位，达到了现预期功能，运行良好，有效满足了移民现实需要。</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sz w:val="32"/>
          <w:szCs w:val="32"/>
          <w:highlight w:val="none"/>
          <w:u w:val="none"/>
          <w:lang w:eastAsia="zh-CN"/>
        </w:rPr>
      </w:pPr>
      <w:r>
        <w:rPr>
          <w:rFonts w:hint="eastAsia" w:ascii="黑体" w:hAnsi="宋体" w:cs="Times New Roman"/>
          <w:color w:val="auto"/>
          <w:sz w:val="32"/>
          <w:szCs w:val="32"/>
          <w:highlight w:val="none"/>
          <w:u w:val="none"/>
          <w:lang w:eastAsia="zh-CN"/>
        </w:rPr>
        <w:t>五、</w:t>
      </w:r>
      <w:r>
        <w:rPr>
          <w:rFonts w:hint="eastAsia" w:ascii="黑体" w:hAnsi="宋体" w:eastAsia="黑体" w:cs="Times New Roman"/>
          <w:color w:val="auto"/>
          <w:sz w:val="32"/>
          <w:szCs w:val="32"/>
          <w:highlight w:val="none"/>
          <w:u w:val="none"/>
          <w:lang w:eastAsia="zh-CN"/>
        </w:rPr>
        <w:t>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我县移民人口流动性大，常年外出务工，导致补助资金虽然及时发放但极小部分移民因社保卡问题无法收到补助。</w:t>
      </w:r>
    </w:p>
    <w:p>
      <w:pPr>
        <w:pStyle w:val="3"/>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宋体" w:eastAsia="黑体" w:cs="Times New Roman"/>
          <w:color w:val="auto"/>
          <w:kern w:val="0"/>
          <w:position w:val="3"/>
          <w:sz w:val="32"/>
          <w:szCs w:val="32"/>
          <w:highlight w:val="none"/>
          <w:u w:val="none"/>
          <w:lang w:val="zh-CN" w:eastAsia="zh-CN" w:bidi="ar-SA"/>
        </w:rPr>
      </w:pPr>
      <w:r>
        <w:rPr>
          <w:rFonts w:hint="eastAsia" w:ascii="黑体" w:hAnsi="宋体" w:eastAsia="黑体" w:cs="Times New Roman"/>
          <w:color w:val="auto"/>
          <w:kern w:val="0"/>
          <w:position w:val="3"/>
          <w:sz w:val="32"/>
          <w:szCs w:val="32"/>
          <w:highlight w:val="none"/>
          <w:u w:val="none"/>
          <w:lang w:val="zh-CN" w:eastAsia="zh-CN" w:bidi="ar-SA"/>
        </w:rPr>
        <w:t>六、改进建议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 w:eastAsia="zh-CN" w:bidi="ar-SA"/>
        </w:rPr>
      </w:pPr>
      <w:bookmarkStart w:id="0" w:name="_Hlk110546638"/>
      <w:r>
        <w:rPr>
          <w:rFonts w:hint="eastAsia" w:ascii="仿宋GB231" w:hAnsi="仿宋GB231" w:eastAsia="仿宋GB231" w:cs="仿宋GB231"/>
          <w:color w:val="auto"/>
          <w:kern w:val="2"/>
          <w:sz w:val="32"/>
          <w:szCs w:val="32"/>
          <w:lang w:val="en-US" w:eastAsia="zh-CN" w:bidi="ar-SA"/>
        </w:rPr>
        <w:t>各乡镇加强移民动态管理，切实掌握移民现状，保持外出人员社保卡正常。</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zh-CN" w:eastAsia="zh-CN" w:bidi="ar-S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附表：1.项目资金分配涉及所有点位自评得分情况表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仿宋GB231" w:hAnsi="仿宋GB231" w:eastAsia="仿宋GB231" w:cs="仿宋GB231"/>
          <w:color w:val="auto"/>
          <w:kern w:val="2"/>
          <w:sz w:val="32"/>
          <w:szCs w:val="32"/>
          <w:lang w:val="en-US" w:eastAsia="zh-CN" w:bidi="ar-SA"/>
        </w:rPr>
      </w:pPr>
      <w:r>
        <w:rPr>
          <w:rFonts w:hint="eastAsia" w:ascii="仿宋GB231" w:hAnsi="仿宋GB231" w:eastAsia="仿宋GB231" w:cs="仿宋GB231"/>
          <w:color w:val="auto"/>
          <w:kern w:val="2"/>
          <w:sz w:val="32"/>
          <w:szCs w:val="32"/>
          <w:lang w:val="en-US" w:eastAsia="zh-CN" w:bidi="ar-SA"/>
        </w:rPr>
        <w:t>2.专项预算项目绩效目标完成情况自评表</w:t>
      </w:r>
    </w:p>
    <w:p>
      <w:pPr>
        <w:keepNext w:val="0"/>
        <w:keepLines w:val="0"/>
        <w:pageBreakBefore w:val="0"/>
        <w:kinsoku/>
        <w:wordWrap/>
        <w:overflowPunct/>
        <w:topLinePunct w:val="0"/>
        <w:autoSpaceDE/>
        <w:autoSpaceDN/>
        <w:bidi w:val="0"/>
        <w:adjustRightInd/>
        <w:snapToGrid w:val="0"/>
        <w:spacing w:line="578" w:lineRule="exact"/>
        <w:ind w:left="0" w:leftChars="0" w:firstLine="640" w:firstLineChars="200"/>
        <w:textAlignment w:val="auto"/>
        <w:outlineLvl w:val="9"/>
        <w:rPr>
          <w:rFonts w:hint="eastAsia" w:ascii="Times New Roman" w:hAnsi="Times New Roman" w:cs="Times New Roman"/>
          <w:color w:val="000000"/>
          <w:kern w:val="0"/>
          <w:szCs w:val="32"/>
          <w:highlight w:val="none"/>
          <w:shd w:val="clear" w:color="auto" w:fill="FFFFFF"/>
          <w:lang w:val="zh-CN" w:eastAsia="zh-CN"/>
        </w:rPr>
      </w:pPr>
      <w:r>
        <w:rPr>
          <w:rFonts w:hint="eastAsia" w:ascii="Times New Roman" w:hAnsi="Times New Roman" w:cs="Times New Roman"/>
          <w:color w:val="000000"/>
          <w:kern w:val="0"/>
          <w:szCs w:val="32"/>
          <w:highlight w:val="none"/>
          <w:shd w:val="clear" w:color="auto" w:fill="FFFFFF"/>
          <w:lang w:val="zh-CN"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contextualSpacing/>
        <w:jc w:val="left"/>
        <w:textAlignment w:val="auto"/>
        <w:rPr>
          <w:rFonts w:hint="eastAsia" w:ascii="黑体" w:hAnsi="黑体" w:eastAsia="黑体" w:cs="黑体"/>
          <w:b w:val="0"/>
          <w:bCs w:val="0"/>
          <w:color w:val="auto"/>
          <w:kern w:val="0"/>
          <w:sz w:val="32"/>
          <w:szCs w:val="32"/>
          <w:highlight w:val="none"/>
          <w:u w:val="none"/>
          <w:shd w:val="clear" w:color="auto" w:fill="FFFFFF"/>
          <w:lang w:val="zh-CN" w:eastAsia="zh-CN"/>
        </w:rPr>
      </w:pPr>
      <w:r>
        <w:rPr>
          <w:rFonts w:hint="eastAsia" w:ascii="黑体" w:hAnsi="黑体" w:eastAsia="黑体" w:cs="黑体"/>
          <w:b w:val="0"/>
          <w:bCs w:val="0"/>
          <w:color w:val="auto"/>
          <w:kern w:val="0"/>
          <w:sz w:val="32"/>
          <w:szCs w:val="32"/>
          <w:highlight w:val="none"/>
          <w:u w:val="none"/>
          <w:shd w:val="clear" w:color="auto" w:fill="FFFFFF"/>
          <w:lang w:val="zh-CN" w:eastAsia="zh-CN"/>
        </w:rPr>
        <w:t>附表</w:t>
      </w:r>
      <w:r>
        <w:rPr>
          <w:rFonts w:hint="eastAsia" w:ascii="黑体" w:hAnsi="黑体" w:eastAsia="黑体" w:cs="黑体"/>
          <w:b w:val="0"/>
          <w:bCs w:val="0"/>
          <w:color w:val="auto"/>
          <w:kern w:val="0"/>
          <w:sz w:val="32"/>
          <w:szCs w:val="32"/>
          <w:highlight w:val="none"/>
          <w:u w:val="none"/>
          <w:shd w:val="clear" w:color="auto" w:fill="FFFFFF"/>
          <w:lang w:val="en-US" w:eastAsia="zh-CN"/>
        </w:rPr>
        <w:t>1</w:t>
      </w:r>
    </w:p>
    <w:p>
      <w:pPr>
        <w:keepNext w:val="0"/>
        <w:keepLines w:val="0"/>
        <w:pageBreakBefore w:val="0"/>
        <w:kinsoku/>
        <w:wordWrap/>
        <w:overflowPunct/>
        <w:topLinePunct w:val="0"/>
        <w:autoSpaceDE/>
        <w:autoSpaceDN/>
        <w:bidi w:val="0"/>
        <w:spacing w:line="578" w:lineRule="exact"/>
        <w:ind w:left="0" w:leftChars="0"/>
        <w:jc w:val="center"/>
        <w:textAlignment w:val="auto"/>
        <w:rPr>
          <w:rFonts w:hint="eastAsia" w:ascii="方正小标宋_GBK" w:hAnsi="方正小标宋_GBK" w:eastAsia="方正小标宋_GBK" w:cs="方正小标宋_GBK"/>
          <w:b w:val="0"/>
          <w:bCs w:val="0"/>
          <w:color w:val="auto"/>
          <w:sz w:val="40"/>
          <w:szCs w:val="40"/>
          <w:highlight w:val="none"/>
          <w:u w:val="none"/>
          <w:lang w:val="en-US" w:eastAsia="zh-CN"/>
        </w:rPr>
      </w:pPr>
      <w:r>
        <w:rPr>
          <w:rFonts w:hint="eastAsia" w:ascii="方正小标宋_GBK" w:hAnsi="方正小标宋_GBK" w:eastAsia="方正小标宋_GBK" w:cs="方正小标宋_GBK"/>
          <w:b w:val="0"/>
          <w:bCs w:val="0"/>
          <w:color w:val="auto"/>
          <w:sz w:val="40"/>
          <w:szCs w:val="40"/>
          <w:highlight w:val="none"/>
          <w:u w:val="none"/>
          <w:lang w:val="en-US" w:eastAsia="zh-CN"/>
        </w:rPr>
        <w:t>项目资金分配涉及所有点位自评得分情况表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3843"/>
        <w:gridCol w:w="286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序号</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 w:eastAsia="zh-CN"/>
              </w:rPr>
            </w:pPr>
            <w:r>
              <w:rPr>
                <w:rFonts w:hint="eastAsia" w:ascii="黑体" w:hAnsi="黑体" w:eastAsia="黑体" w:cs="黑体"/>
                <w:b w:val="0"/>
                <w:bCs w:val="0"/>
                <w:color w:val="auto"/>
                <w:sz w:val="24"/>
                <w:szCs w:val="24"/>
                <w:highlight w:val="none"/>
                <w:u w:val="none"/>
                <w:vertAlign w:val="baseline"/>
                <w:lang w:val="en-US" w:eastAsia="zh-CN"/>
              </w:rPr>
              <w:t>项目资金末端分配点位</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 w:eastAsia="zh-CN"/>
              </w:rPr>
              <w:t>自评得分（百分制）</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黑体" w:hAnsi="黑体" w:eastAsia="黑体" w:cs="黑体"/>
                <w:b w:val="0"/>
                <w:bCs w:val="0"/>
                <w:color w:val="auto"/>
                <w:sz w:val="24"/>
                <w:szCs w:val="24"/>
                <w:highlight w:val="none"/>
                <w:u w:val="none"/>
                <w:vertAlign w:val="baseline"/>
                <w:lang w:val="en-US" w:eastAsia="zh-CN"/>
              </w:rPr>
            </w:pPr>
            <w:r>
              <w:rPr>
                <w:rFonts w:hint="eastAsia" w:ascii="黑体" w:hAnsi="黑体" w:eastAsia="黑体" w:cs="黑体"/>
                <w:b w:val="0"/>
                <w:bCs w:val="0"/>
                <w:color w:val="auto"/>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US" w:eastAsia="zh-CN"/>
              </w:rPr>
              <w:t>黑水县大中型水库移民后期扶持直发直补</w:t>
            </w: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default" w:ascii="宋体" w:hAnsi="宋体" w:cs="宋体"/>
                <w:color w:val="auto"/>
                <w:sz w:val="24"/>
                <w:szCs w:val="24"/>
                <w:highlight w:val="none"/>
                <w:u w:val="none"/>
                <w:vertAlign w:val="baseline"/>
                <w:lang w:val="en-US" w:eastAsia="zh-CN"/>
              </w:rPr>
            </w:pPr>
            <w:r>
              <w:rPr>
                <w:rFonts w:hint="eastAsia" w:ascii="宋体" w:hAnsi="宋体" w:cs="宋体"/>
                <w:color w:val="auto"/>
                <w:sz w:val="24"/>
                <w:szCs w:val="24"/>
                <w:highlight w:val="none"/>
                <w:u w:val="none"/>
                <w:vertAlign w:val="baseline"/>
                <w:lang w:val="en-US" w:eastAsia="zh-CN"/>
              </w:rPr>
              <w:t>99.5</w:t>
            </w: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2</w:t>
            </w:r>
          </w:p>
        </w:tc>
        <w:tc>
          <w:tcPr>
            <w:tcW w:w="3843" w:type="dxa"/>
            <w:vAlign w:val="top"/>
          </w:tcPr>
          <w:p>
            <w:pPr>
              <w:keepNext w:val="0"/>
              <w:keepLines w:val="0"/>
              <w:pageBreakBefore w:val="0"/>
              <w:widowControl w:val="0"/>
              <w:tabs>
                <w:tab w:val="left" w:pos="1099"/>
              </w:tabs>
              <w:kinsoku/>
              <w:wordWrap/>
              <w:overflowPunct/>
              <w:topLinePunct w:val="0"/>
              <w:autoSpaceDE/>
              <w:autoSpaceDN/>
              <w:bidi w:val="0"/>
              <w:adjustRightInd/>
              <w:snapToGrid/>
              <w:spacing w:line="300" w:lineRule="exact"/>
              <w:ind w:left="0" w:leftChars="0"/>
              <w:textAlignment w:val="auto"/>
              <w:outlineLvl w:val="9"/>
              <w:rPr>
                <w:rFonts w:hint="eastAsia" w:ascii="宋体" w:hAnsi="宋体" w:eastAsia="宋体" w:cs="宋体"/>
                <w:i w:val="0"/>
                <w:color w:val="000000"/>
                <w:sz w:val="24"/>
                <w:szCs w:val="24"/>
                <w:u w:val="no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4</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5</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7</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8</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12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p>
        </w:tc>
        <w:tc>
          <w:tcPr>
            <w:tcW w:w="384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2861"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 w:eastAsia="zh-CN"/>
              </w:rPr>
            </w:pPr>
          </w:p>
        </w:tc>
        <w:tc>
          <w:tcPr>
            <w:tcW w:w="993"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textAlignment w:val="auto"/>
              <w:outlineLvl w:val="9"/>
              <w:rPr>
                <w:rFonts w:hint="eastAsia" w:ascii="宋体" w:hAnsi="宋体" w:cs="宋体"/>
                <w:color w:val="auto"/>
                <w:sz w:val="24"/>
                <w:szCs w:val="24"/>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备注：1.项目资金末端分配点位包括州本级、县（市）、州级部门下属单位及一次性单位等。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0" w:firstLineChars="300"/>
        <w:jc w:val="left"/>
        <w:textAlignment w:val="auto"/>
        <w:rPr>
          <w:rFonts w:hint="eastAsia" w:ascii="宋体" w:hAnsi="宋体" w:eastAsia="宋体" w:cs="宋体"/>
          <w:b w:val="0"/>
          <w:bCs w:val="0"/>
          <w:color w:val="auto"/>
          <w:sz w:val="21"/>
          <w:szCs w:val="21"/>
          <w:highlight w:val="none"/>
          <w:u w:val="none"/>
          <w:vertAlign w:val="baseline"/>
          <w:lang w:val="en-US" w:eastAsia="zh-CN"/>
        </w:rPr>
      </w:pPr>
      <w:r>
        <w:rPr>
          <w:rFonts w:hint="eastAsia" w:ascii="宋体" w:hAnsi="宋体" w:eastAsia="宋体" w:cs="宋体"/>
          <w:b w:val="0"/>
          <w:bCs w:val="0"/>
          <w:color w:val="auto"/>
          <w:sz w:val="21"/>
          <w:szCs w:val="21"/>
          <w:highlight w:val="none"/>
          <w:u w:val="none"/>
          <w:vertAlign w:val="baseline"/>
          <w:lang w:val="en-US" w:eastAsia="zh-CN"/>
        </w:rPr>
        <w:t>2.自评得分（百分制）从高到低划分为优、良、中、差四个档次，各个档次数量占比分别为20%、20%、55%、5%，且不同档次间得分分值应体现差异化，同档次得分分值相同的比例不超过该档次总数量的10%。</w:t>
      </w:r>
    </w:p>
    <w:p>
      <w:pPr>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br w:type="page"/>
      </w:r>
    </w:p>
    <w:p>
      <w:pPr>
        <w:pStyle w:val="7"/>
        <w:keepNext w:val="0"/>
        <w:keepLines w:val="0"/>
        <w:pageBreakBefore w:val="0"/>
        <w:kinsoku/>
        <w:wordWrap/>
        <w:overflowPunct/>
        <w:topLinePunct w:val="0"/>
        <w:autoSpaceDE/>
        <w:autoSpaceDN/>
        <w:bidi w:val="0"/>
        <w:spacing w:after="0" w:line="578" w:lineRule="exact"/>
        <w:ind w:left="0" w:leftChars="0" w:firstLine="0" w:firstLineChars="0"/>
        <w:rPr>
          <w:rFonts w:hint="default" w:ascii="Times New Roman" w:hAnsi="Times New Roman" w:eastAsia="黑体" w:cs="Times New Roman"/>
          <w:kern w:val="2"/>
          <w:sz w:val="32"/>
          <w:szCs w:val="24"/>
          <w:highlight w:val="none"/>
          <w:lang w:val="en-US" w:eastAsia="zh-CN" w:bidi="ar-SA"/>
        </w:rPr>
      </w:pPr>
      <w:r>
        <w:rPr>
          <w:rFonts w:hint="default" w:ascii="Times New Roman" w:hAnsi="Times New Roman" w:eastAsia="黑体" w:cs="Times New Roman"/>
          <w:kern w:val="2"/>
          <w:sz w:val="32"/>
          <w:szCs w:val="24"/>
          <w:highlight w:val="none"/>
          <w:lang w:val="en-US" w:eastAsia="zh-CN" w:bidi="ar-SA"/>
        </w:rPr>
        <w:t>附表2</w:t>
      </w:r>
    </w:p>
    <w:tbl>
      <w:tblPr>
        <w:tblStyle w:val="8"/>
        <w:tblW w:w="10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2"/>
        <w:gridCol w:w="1081"/>
        <w:gridCol w:w="1250"/>
        <w:gridCol w:w="1312"/>
        <w:gridCol w:w="1127"/>
        <w:gridCol w:w="971"/>
        <w:gridCol w:w="1061"/>
        <w:gridCol w:w="93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0233"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center"/>
              <w:rPr>
                <w:rFonts w:ascii="黑体" w:hAnsi="宋体" w:eastAsia="黑体" w:cs="黑体"/>
                <w:i w:val="0"/>
                <w:color w:val="000000"/>
                <w:sz w:val="30"/>
                <w:szCs w:val="30"/>
                <w:u w:val="none"/>
              </w:rPr>
            </w:pPr>
            <w:r>
              <w:rPr>
                <w:rFonts w:hint="eastAsia" w:ascii="微软雅黑" w:hAnsi="微软雅黑" w:eastAsia="微软雅黑" w:cs="微软雅黑"/>
                <w:i w:val="0"/>
                <w:color w:val="000000"/>
                <w:kern w:val="0"/>
                <w:sz w:val="40"/>
                <w:szCs w:val="40"/>
                <w:u w:val="none"/>
                <w:lang w:val="en-US" w:eastAsia="zh-CN" w:bidi="ar"/>
              </w:rPr>
              <w:t>专项预算项目绩效目标完成情况自评表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项目名称</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黑水县大中型水库移民后期扶持直发直补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预算单位</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黑水县</w:t>
            </w:r>
            <w:r>
              <w:rPr>
                <w:rFonts w:hint="eastAsia" w:ascii="宋体" w:hAnsi="宋体" w:eastAsia="宋体" w:cs="宋体"/>
                <w:i w:val="0"/>
                <w:color w:val="000000"/>
                <w:sz w:val="24"/>
                <w:szCs w:val="24"/>
                <w:u w:val="none"/>
                <w:lang w:val="en-US" w:eastAsia="zh-CN"/>
              </w:rPr>
              <w:t>乡村振兴</w:t>
            </w:r>
            <w:r>
              <w:rPr>
                <w:rFonts w:hint="eastAsia" w:ascii="宋体" w:hAnsi="宋体" w:eastAsia="宋体" w:cs="宋体"/>
                <w:i w:val="0"/>
                <w:color w:val="000000"/>
                <w:sz w:val="24"/>
                <w:szCs w:val="24"/>
                <w:u w:val="none"/>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2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项目类型</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民生保障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 概况</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中长期规划（名称、文号，仅指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常年项目）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资金管理办法（名称、文号）</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《四川省移民后期扶持资金管理办法》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绩效分配方式</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£项目法</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据实据效</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default" w:ascii="Wingdings 2" w:hAnsi="Wingdings 2" w:eastAsia="Wingdings 2" w:cs="Wingdings 2"/>
                <w:i w:val="0"/>
                <w:color w:val="000000"/>
                <w:sz w:val="24"/>
                <w:szCs w:val="24"/>
                <w:u w:val="none"/>
              </w:rPr>
            </w:pPr>
            <w:r>
              <w:rPr>
                <w:rFonts w:hint="default" w:ascii="Wingdings 2" w:hAnsi="Wingdings 2" w:eastAsia="Wingdings 2" w:cs="Wingdings 2"/>
                <w:i w:val="0"/>
                <w:color w:val="000000"/>
                <w:kern w:val="0"/>
                <w:sz w:val="24"/>
                <w:szCs w:val="24"/>
                <w:u w:val="none"/>
                <w:lang w:val="en-US" w:eastAsia="zh-CN" w:bidi="ar"/>
              </w:rPr>
              <w:t>£</w:t>
            </w:r>
            <w:r>
              <w:rPr>
                <w:rFonts w:ascii="宋体" w:hAnsi="宋体" w:eastAsia="宋体" w:cs="宋体"/>
                <w:i w:val="0"/>
                <w:color w:val="000000"/>
                <w:kern w:val="0"/>
                <w:sz w:val="24"/>
                <w:szCs w:val="24"/>
                <w:u w:val="none"/>
                <w:lang w:val="en-US" w:eastAsia="zh-CN" w:bidi="ar"/>
              </w:rPr>
              <w:t>因素法与项目法相结合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立项依据</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使用范围</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申报（补助）条件</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项目起止年限</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2021-2022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项目资金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（万元）</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年度资金总额：</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ab/>
            </w:r>
            <w:r>
              <w:rPr>
                <w:rFonts w:hint="eastAsia" w:ascii="宋体" w:hAnsi="宋体" w:eastAsia="宋体" w:cs="宋体"/>
                <w:i w:val="0"/>
                <w:color w:val="000000"/>
                <w:sz w:val="24"/>
                <w:szCs w:val="24"/>
                <w:u w:val="none"/>
                <w:lang w:val="en-US" w:eastAsia="zh-CN"/>
              </w:rPr>
              <w:t xml:space="preserve">                                  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r>
              <w:rPr>
                <w:rFonts w:ascii="宋体" w:hAnsi="宋体" w:eastAsia="宋体" w:cs="宋体"/>
                <w:i w:val="0"/>
                <w:color w:val="000000"/>
                <w:kern w:val="0"/>
                <w:sz w:val="24"/>
                <w:szCs w:val="24"/>
                <w:u w:val="none"/>
                <w:lang w:val="en-US" w:eastAsia="zh-CN" w:bidi="ar"/>
              </w:rPr>
              <w:t>其中：财政拨款</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default" w:ascii="宋体" w:hAnsi="宋体" w:eastAsia="宋体" w:cs="宋体"/>
                <w:i w:val="0"/>
                <w:color w:val="000000"/>
                <w:sz w:val="24"/>
                <w:szCs w:val="24"/>
                <w:u w:val="none"/>
                <w:lang w:val="en-US"/>
              </w:rPr>
            </w:pPr>
            <w:r>
              <w:rPr>
                <w:rFonts w:hint="eastAsia" w:ascii="宋体" w:hAnsi="宋体" w:eastAsia="宋体" w:cs="宋体"/>
                <w:i w:val="0"/>
                <w:color w:val="000000"/>
                <w:sz w:val="24"/>
                <w:szCs w:val="24"/>
                <w:u w:val="none"/>
                <w:lang w:val="en-US" w:eastAsia="zh-CN"/>
              </w:rPr>
              <w:t>43.94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left"/>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 xml:space="preserve">            其他资金</w:t>
            </w:r>
          </w:p>
        </w:tc>
        <w:tc>
          <w:tcPr>
            <w:tcW w:w="5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总体 目标</w:t>
            </w: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95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对移民后期扶持人口</w:t>
            </w:r>
            <w:r>
              <w:rPr>
                <w:rFonts w:hint="eastAsia" w:ascii="宋体" w:hAnsi="宋体" w:eastAsia="宋体" w:cs="宋体"/>
                <w:i w:val="0"/>
                <w:color w:val="000000"/>
                <w:sz w:val="24"/>
                <w:szCs w:val="24"/>
                <w:u w:val="none"/>
                <w:lang w:val="en-US" w:eastAsia="zh-CN"/>
              </w:rPr>
              <w:t>3222人进行人口动态管理，直发直补的发放标准为每人每月50元。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绩效 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一级指标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二级指标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三级指标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指标性质</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指标值</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度量单位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权重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1"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产出指标</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数量指标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受益移民人口</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2929</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质量指标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受益移民收入增加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val="en-US" w:eastAsia="zh-CN"/>
              </w:rPr>
              <w:t>50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每人每月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时效指标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是否按季度发放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eastAsia="zh-CN"/>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移民生活得到改善</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25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2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满意度指标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移民满意度</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r>
              <w:rPr>
                <w:rFonts w:hint="default" w:ascii="Arial" w:hAnsi="Arial" w:eastAsia="宋体" w:cs="Arial"/>
                <w:i w:val="0"/>
                <w:color w:val="000000"/>
                <w:sz w:val="24"/>
                <w:szCs w:val="24"/>
                <w:u w:val="none"/>
              </w:rPr>
              <w:t>≥</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成本指标</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kern w:val="0"/>
                <w:sz w:val="24"/>
                <w:szCs w:val="24"/>
                <w:u w:val="none"/>
                <w:lang w:val="en-US" w:eastAsia="zh-CN" w:bidi="ar"/>
              </w:rPr>
            </w:pPr>
            <w:r>
              <w:rPr>
                <w:rFonts w:ascii="宋体" w:hAnsi="宋体" w:eastAsia="宋体" w:cs="宋体"/>
                <w:i w:val="0"/>
                <w:color w:val="000000"/>
                <w:kern w:val="0"/>
                <w:sz w:val="24"/>
                <w:szCs w:val="24"/>
                <w:u w:val="none"/>
                <w:lang w:val="en-US" w:eastAsia="zh-CN" w:bidi="ar"/>
              </w:rPr>
              <w:t>经济成本</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指标</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652"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left"/>
              <w:rPr>
                <w:rFonts w:hint="eastAsia" w:ascii="宋体" w:hAnsi="宋体" w:eastAsia="宋体" w:cs="宋体"/>
                <w:i w:val="0"/>
                <w:color w:val="000000"/>
                <w:sz w:val="24"/>
                <w:szCs w:val="24"/>
                <w:u w:val="none"/>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12"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rPr>
                <w:rFonts w:hint="eastAsia" w:ascii="宋体" w:hAnsi="宋体" w:eastAsia="宋体" w:cs="宋体"/>
                <w:i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ind w:left="0" w:leftChars="0"/>
              <w:jc w:val="center"/>
              <w:rPr>
                <w:rFonts w:hint="eastAsia" w:ascii="宋体" w:hAnsi="宋体" w:eastAsia="宋体" w:cs="宋体"/>
                <w:i w:val="0"/>
                <w:color w:val="000000"/>
                <w:sz w:val="24"/>
                <w:szCs w:val="24"/>
                <w:u w:val="none"/>
              </w:rPr>
            </w:pPr>
          </w:p>
        </w:tc>
      </w:tr>
    </w:tbl>
    <w:p>
      <w:pPr>
        <w:pStyle w:val="7"/>
        <w:keepNext w:val="0"/>
        <w:keepLines w:val="0"/>
        <w:pageBreakBefore w:val="0"/>
        <w:kinsoku/>
        <w:wordWrap/>
        <w:overflowPunct/>
        <w:topLinePunct w:val="0"/>
        <w:autoSpaceDE/>
        <w:autoSpaceDN/>
        <w:bidi w:val="0"/>
        <w:spacing w:after="0" w:line="578" w:lineRule="exact"/>
        <w:ind w:left="0" w:leftChars="0"/>
        <w:rPr>
          <w:rFonts w:hint="default" w:ascii="黑体" w:hAnsi="黑体" w:eastAsia="黑体" w:cs="黑体"/>
          <w:sz w:val="24"/>
          <w:szCs w:val="24"/>
          <w:highlight w:val="none"/>
          <w:lang w:val="en-US" w:eastAsia="zh-CN"/>
        </w:rPr>
      </w:pPr>
    </w:p>
    <w:sectPr>
      <w:footerReference r:id="rId3" w:type="default"/>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GB231">
    <w:altName w:val="方正仿宋_GBK"/>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30BEC"/>
    <w:multiLevelType w:val="singleLevel"/>
    <w:tmpl w:val="C0B30BEC"/>
    <w:lvl w:ilvl="0" w:tentative="0">
      <w:start w:val="4"/>
      <w:numFmt w:val="decimal"/>
      <w:lvlText w:val="%1."/>
      <w:lvlJc w:val="left"/>
      <w:pPr>
        <w:tabs>
          <w:tab w:val="left" w:pos="312"/>
        </w:tabs>
      </w:pPr>
    </w:lvl>
  </w:abstractNum>
  <w:abstractNum w:abstractNumId="1">
    <w:nsid w:val="2927100C"/>
    <w:multiLevelType w:val="singleLevel"/>
    <w:tmpl w:val="292710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wYmNmOWJjMDkzNzBjYWViNmVjZTQ3ODcwZTY4NzMifQ=="/>
  </w:docVars>
  <w:rsids>
    <w:rsidRoot w:val="771D4D51"/>
    <w:rsid w:val="03073C0C"/>
    <w:rsid w:val="04686C05"/>
    <w:rsid w:val="04B0389B"/>
    <w:rsid w:val="05E57574"/>
    <w:rsid w:val="08262551"/>
    <w:rsid w:val="0ABF6A69"/>
    <w:rsid w:val="0B4B55B8"/>
    <w:rsid w:val="0B966410"/>
    <w:rsid w:val="0E503C69"/>
    <w:rsid w:val="0EB9159E"/>
    <w:rsid w:val="0F786D63"/>
    <w:rsid w:val="13CB32E1"/>
    <w:rsid w:val="1A351D27"/>
    <w:rsid w:val="1A69031C"/>
    <w:rsid w:val="1B8D3B96"/>
    <w:rsid w:val="1C25106F"/>
    <w:rsid w:val="1CFD8DF6"/>
    <w:rsid w:val="1D316553"/>
    <w:rsid w:val="1DAC2F50"/>
    <w:rsid w:val="1DFE319E"/>
    <w:rsid w:val="1FFF9AD9"/>
    <w:rsid w:val="214473ED"/>
    <w:rsid w:val="22AD555F"/>
    <w:rsid w:val="249F3B1B"/>
    <w:rsid w:val="25214783"/>
    <w:rsid w:val="257D7EED"/>
    <w:rsid w:val="26610C44"/>
    <w:rsid w:val="26633E71"/>
    <w:rsid w:val="26955FF5"/>
    <w:rsid w:val="26CF2DB3"/>
    <w:rsid w:val="27677991"/>
    <w:rsid w:val="284E28FF"/>
    <w:rsid w:val="2AF86ED7"/>
    <w:rsid w:val="2AFDF212"/>
    <w:rsid w:val="2B0E7C0B"/>
    <w:rsid w:val="2B385C88"/>
    <w:rsid w:val="2B4935F4"/>
    <w:rsid w:val="2B6BF484"/>
    <w:rsid w:val="2D177764"/>
    <w:rsid w:val="2DF83674"/>
    <w:rsid w:val="2FFF7DE7"/>
    <w:rsid w:val="312A215B"/>
    <w:rsid w:val="32F04CDF"/>
    <w:rsid w:val="33F748AD"/>
    <w:rsid w:val="349B511E"/>
    <w:rsid w:val="35874596"/>
    <w:rsid w:val="35F2A362"/>
    <w:rsid w:val="36127662"/>
    <w:rsid w:val="36EA2AC9"/>
    <w:rsid w:val="371A51D2"/>
    <w:rsid w:val="373BBD0C"/>
    <w:rsid w:val="39BFEDBA"/>
    <w:rsid w:val="39DBABD8"/>
    <w:rsid w:val="3A9E5310"/>
    <w:rsid w:val="3AED12ED"/>
    <w:rsid w:val="3AFF6A5D"/>
    <w:rsid w:val="3BDD34D2"/>
    <w:rsid w:val="3BDDFF97"/>
    <w:rsid w:val="3BFFD43B"/>
    <w:rsid w:val="3C7BD5C9"/>
    <w:rsid w:val="3D7B5AED"/>
    <w:rsid w:val="3FBF9251"/>
    <w:rsid w:val="3FED766E"/>
    <w:rsid w:val="3FF36400"/>
    <w:rsid w:val="3FFEEAD9"/>
    <w:rsid w:val="3FFFE931"/>
    <w:rsid w:val="406D037E"/>
    <w:rsid w:val="416460C5"/>
    <w:rsid w:val="4214423A"/>
    <w:rsid w:val="457F07F2"/>
    <w:rsid w:val="4BB5666E"/>
    <w:rsid w:val="4C7346A9"/>
    <w:rsid w:val="4CC6FDBD"/>
    <w:rsid w:val="4E07F45D"/>
    <w:rsid w:val="4E7C63B1"/>
    <w:rsid w:val="4FF59AF5"/>
    <w:rsid w:val="50242014"/>
    <w:rsid w:val="503D00E8"/>
    <w:rsid w:val="55FE10A2"/>
    <w:rsid w:val="560324E8"/>
    <w:rsid w:val="56EF6619"/>
    <w:rsid w:val="57AF1E73"/>
    <w:rsid w:val="588569B8"/>
    <w:rsid w:val="595B4CF8"/>
    <w:rsid w:val="5A8B5893"/>
    <w:rsid w:val="5AB21C33"/>
    <w:rsid w:val="5B778EC0"/>
    <w:rsid w:val="5B903F17"/>
    <w:rsid w:val="5BC763DC"/>
    <w:rsid w:val="5BFD93EC"/>
    <w:rsid w:val="5CBA8FF2"/>
    <w:rsid w:val="5D5F7E21"/>
    <w:rsid w:val="5D831A4C"/>
    <w:rsid w:val="5F5B35E4"/>
    <w:rsid w:val="60536729"/>
    <w:rsid w:val="609FA7B0"/>
    <w:rsid w:val="61675702"/>
    <w:rsid w:val="64A84B6A"/>
    <w:rsid w:val="66BE68C6"/>
    <w:rsid w:val="67DA328C"/>
    <w:rsid w:val="69C43F1F"/>
    <w:rsid w:val="69FCE5E7"/>
    <w:rsid w:val="6BCDA9CC"/>
    <w:rsid w:val="6CF52916"/>
    <w:rsid w:val="6D9F2765"/>
    <w:rsid w:val="6DB508E5"/>
    <w:rsid w:val="6DDFA6BD"/>
    <w:rsid w:val="6E077517"/>
    <w:rsid w:val="6E767ACE"/>
    <w:rsid w:val="6E781687"/>
    <w:rsid w:val="6EEE3ED1"/>
    <w:rsid w:val="6EFFED40"/>
    <w:rsid w:val="6F1B2166"/>
    <w:rsid w:val="6F5FC1DE"/>
    <w:rsid w:val="6F6965FE"/>
    <w:rsid w:val="6FB3E1FD"/>
    <w:rsid w:val="6FD768E4"/>
    <w:rsid w:val="6FF341F1"/>
    <w:rsid w:val="6FFEBD86"/>
    <w:rsid w:val="73FF1F09"/>
    <w:rsid w:val="73FF684B"/>
    <w:rsid w:val="74A708C5"/>
    <w:rsid w:val="74B77C0A"/>
    <w:rsid w:val="757271FA"/>
    <w:rsid w:val="76DFCB7D"/>
    <w:rsid w:val="771D4D51"/>
    <w:rsid w:val="7735A28E"/>
    <w:rsid w:val="77697162"/>
    <w:rsid w:val="77778F6D"/>
    <w:rsid w:val="77ABFD6B"/>
    <w:rsid w:val="77B7A121"/>
    <w:rsid w:val="77C748BA"/>
    <w:rsid w:val="77DD24F1"/>
    <w:rsid w:val="77F10335"/>
    <w:rsid w:val="77F7E860"/>
    <w:rsid w:val="77FB8D34"/>
    <w:rsid w:val="797D0128"/>
    <w:rsid w:val="79EDB415"/>
    <w:rsid w:val="7ABBCDAB"/>
    <w:rsid w:val="7AFCAD25"/>
    <w:rsid w:val="7AFEB9B4"/>
    <w:rsid w:val="7B5E0C37"/>
    <w:rsid w:val="7B63F034"/>
    <w:rsid w:val="7B735637"/>
    <w:rsid w:val="7B7DE504"/>
    <w:rsid w:val="7BFEC4F8"/>
    <w:rsid w:val="7DA14F75"/>
    <w:rsid w:val="7DB57A61"/>
    <w:rsid w:val="7DC7DC1F"/>
    <w:rsid w:val="7DF95E12"/>
    <w:rsid w:val="7DFDF40F"/>
    <w:rsid w:val="7DFF9BC7"/>
    <w:rsid w:val="7EB645E3"/>
    <w:rsid w:val="7EB6B7AB"/>
    <w:rsid w:val="7EDEF702"/>
    <w:rsid w:val="7EFD6908"/>
    <w:rsid w:val="7EFF8787"/>
    <w:rsid w:val="7F1C270D"/>
    <w:rsid w:val="7F5F4807"/>
    <w:rsid w:val="7F722518"/>
    <w:rsid w:val="7F7CF90E"/>
    <w:rsid w:val="7F9E3557"/>
    <w:rsid w:val="7FBF2857"/>
    <w:rsid w:val="7FD3B1BB"/>
    <w:rsid w:val="7FE7031F"/>
    <w:rsid w:val="7FEC5D3B"/>
    <w:rsid w:val="7FEF37E2"/>
    <w:rsid w:val="7FF70813"/>
    <w:rsid w:val="7FF7B584"/>
    <w:rsid w:val="7FFDFB4B"/>
    <w:rsid w:val="7FFF1910"/>
    <w:rsid w:val="7FFF8C1D"/>
    <w:rsid w:val="7FFF92F0"/>
    <w:rsid w:val="7FFFF07C"/>
    <w:rsid w:val="9BF3195D"/>
    <w:rsid w:val="A5DB4128"/>
    <w:rsid w:val="A6E375DB"/>
    <w:rsid w:val="A6EFA809"/>
    <w:rsid w:val="A6F7CC0B"/>
    <w:rsid w:val="AABFBDFA"/>
    <w:rsid w:val="AF7DE88E"/>
    <w:rsid w:val="AFED1DC0"/>
    <w:rsid w:val="AFFBB299"/>
    <w:rsid w:val="B3ECA4C8"/>
    <w:rsid w:val="B4D7E8EA"/>
    <w:rsid w:val="B4EF3795"/>
    <w:rsid w:val="B5E79B51"/>
    <w:rsid w:val="B6E7F02A"/>
    <w:rsid w:val="B797ED78"/>
    <w:rsid w:val="BB75119C"/>
    <w:rsid w:val="BBD3B774"/>
    <w:rsid w:val="BBDF02B2"/>
    <w:rsid w:val="BCFB0575"/>
    <w:rsid w:val="BDFAE4ED"/>
    <w:rsid w:val="BE5EC634"/>
    <w:rsid w:val="BEC77393"/>
    <w:rsid w:val="BEFECBAE"/>
    <w:rsid w:val="BF2F7DA9"/>
    <w:rsid w:val="BF7F7592"/>
    <w:rsid w:val="BFB71281"/>
    <w:rsid w:val="BFBDF2DF"/>
    <w:rsid w:val="BFE4DD88"/>
    <w:rsid w:val="BFF9117D"/>
    <w:rsid w:val="BFFF6947"/>
    <w:rsid w:val="C8FDA203"/>
    <w:rsid w:val="CEF79301"/>
    <w:rsid w:val="CEFBB93B"/>
    <w:rsid w:val="CF7C6158"/>
    <w:rsid w:val="CF9D4E98"/>
    <w:rsid w:val="CFBFEC5E"/>
    <w:rsid w:val="D65BF816"/>
    <w:rsid w:val="D73F10CF"/>
    <w:rsid w:val="D977C3BB"/>
    <w:rsid w:val="D977C9A6"/>
    <w:rsid w:val="D9FF310B"/>
    <w:rsid w:val="DBF57698"/>
    <w:rsid w:val="DBFFAB54"/>
    <w:rsid w:val="DDFF5069"/>
    <w:rsid w:val="DECF83A1"/>
    <w:rsid w:val="DEEBD176"/>
    <w:rsid w:val="DEED29CB"/>
    <w:rsid w:val="DEFF6025"/>
    <w:rsid w:val="DF4E686F"/>
    <w:rsid w:val="DF7F78BD"/>
    <w:rsid w:val="DFDFC0CD"/>
    <w:rsid w:val="DFF7F21C"/>
    <w:rsid w:val="DFFE4986"/>
    <w:rsid w:val="E3F74AB8"/>
    <w:rsid w:val="E5FD7CF6"/>
    <w:rsid w:val="E7FE6222"/>
    <w:rsid w:val="E9BB2A12"/>
    <w:rsid w:val="EDDF69E1"/>
    <w:rsid w:val="EDF76BB3"/>
    <w:rsid w:val="EEF68640"/>
    <w:rsid w:val="EFF41AC0"/>
    <w:rsid w:val="EFF76D95"/>
    <w:rsid w:val="EFFF2C87"/>
    <w:rsid w:val="EFFFA435"/>
    <w:rsid w:val="F1DF82E1"/>
    <w:rsid w:val="F1F64F55"/>
    <w:rsid w:val="F2E22473"/>
    <w:rsid w:val="F35D14F0"/>
    <w:rsid w:val="F3F4C349"/>
    <w:rsid w:val="F3F64609"/>
    <w:rsid w:val="F4E96614"/>
    <w:rsid w:val="F4F54B3B"/>
    <w:rsid w:val="F58EBBB0"/>
    <w:rsid w:val="F5CBD2AD"/>
    <w:rsid w:val="F6F3FBF3"/>
    <w:rsid w:val="F6FE0D0F"/>
    <w:rsid w:val="F9B8FDC3"/>
    <w:rsid w:val="F9BF4E89"/>
    <w:rsid w:val="FA79E738"/>
    <w:rsid w:val="FAD729CA"/>
    <w:rsid w:val="FB1B5977"/>
    <w:rsid w:val="FBF62448"/>
    <w:rsid w:val="FBF76486"/>
    <w:rsid w:val="FBFF7DC7"/>
    <w:rsid w:val="FC37AF17"/>
    <w:rsid w:val="FCDE5A6F"/>
    <w:rsid w:val="FCFE5638"/>
    <w:rsid w:val="FCFF1FE1"/>
    <w:rsid w:val="FD7C7175"/>
    <w:rsid w:val="FDD7319B"/>
    <w:rsid w:val="FDDE4FF7"/>
    <w:rsid w:val="FDF8F696"/>
    <w:rsid w:val="FE7B38A4"/>
    <w:rsid w:val="FE7EBDAF"/>
    <w:rsid w:val="FEAF5424"/>
    <w:rsid w:val="FECB8DB0"/>
    <w:rsid w:val="FECF948F"/>
    <w:rsid w:val="FEDCE487"/>
    <w:rsid w:val="FEED62B0"/>
    <w:rsid w:val="FEEFF60E"/>
    <w:rsid w:val="FEFD6F73"/>
    <w:rsid w:val="FF0F1500"/>
    <w:rsid w:val="FF5995C2"/>
    <w:rsid w:val="FF6B552C"/>
    <w:rsid w:val="FF6F74D4"/>
    <w:rsid w:val="FFBB4B28"/>
    <w:rsid w:val="FFCFE300"/>
    <w:rsid w:val="FFD58A98"/>
    <w:rsid w:val="FFDD382A"/>
    <w:rsid w:val="FFDFD60A"/>
    <w:rsid w:val="FFE6F78D"/>
    <w:rsid w:val="FFEBBD1A"/>
    <w:rsid w:val="FFEF3B9A"/>
    <w:rsid w:val="FFF171B6"/>
    <w:rsid w:val="FFF33D76"/>
    <w:rsid w:val="FFF3C5BB"/>
    <w:rsid w:val="FFFA984C"/>
    <w:rsid w:val="FFFB4651"/>
    <w:rsid w:val="FFFD90B9"/>
    <w:rsid w:val="FFFF2620"/>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lang w:val="zh-CN" w:eastAsia="zh-CN"/>
    </w:rPr>
  </w:style>
  <w:style w:type="paragraph" w:styleId="3">
    <w:name w:val="Body Text"/>
    <w:basedOn w:val="1"/>
    <w:qFormat/>
    <w:uiPriority w:val="99"/>
    <w:pPr>
      <w:widowControl/>
      <w:tabs>
        <w:tab w:val="left" w:pos="2160"/>
      </w:tabs>
      <w:spacing w:line="480" w:lineRule="auto"/>
      <w:jc w:val="left"/>
    </w:pPr>
    <w:rPr>
      <w:rFonts w:ascii="楷体_GB2312" w:eastAsia="黑体"/>
      <w:kern w:val="0"/>
      <w:position w:val="3"/>
      <w:sz w:val="20"/>
      <w:szCs w:val="20"/>
      <w:lang w:eastAsia="en-US"/>
    </w:rPr>
  </w:style>
  <w:style w:type="paragraph" w:styleId="4">
    <w:name w:val="Body Text Indent"/>
    <w:basedOn w:val="1"/>
    <w:qFormat/>
    <w:uiPriority w:val="0"/>
    <w:pPr>
      <w:spacing w:after="120"/>
      <w:ind w:leftChars="200"/>
    </w:pPr>
    <w:rPr>
      <w:rFonts w:ascii="仿宋_GB2312"/>
      <w:szCs w:val="32"/>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6">
    <w:name w:val="toc 1"/>
    <w:basedOn w:val="1"/>
    <w:next w:val="1"/>
    <w:qFormat/>
    <w:uiPriority w:val="0"/>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12">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2959</Words>
  <Characters>3085</Characters>
  <Lines>0</Lines>
  <Paragraphs>0</Paragraphs>
  <TotalTime>9</TotalTime>
  <ScaleCrop>false</ScaleCrop>
  <LinksUpToDate>false</LinksUpToDate>
  <CharactersWithSpaces>3171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2020-07-12T16:13:00Z</dcterms:created>
  <dc:creator>Administrator</dc:creator>
  <cp:lastModifiedBy>user</cp:lastModifiedBy>
  <cp:lastPrinted>2016-02-13T19:32:00Z</cp:lastPrinted>
  <dcterms:modified xsi:type="dcterms:W3CDTF">2025-02-25T10:51:23Z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B3322679CD074790BD352422B71216EF_13</vt:lpwstr>
  </property>
</Properties>
</file>