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-1151255</wp:posOffset>
            </wp:positionH>
            <wp:positionV relativeFrom="paragraph">
              <wp:posOffset>-1994535</wp:posOffset>
            </wp:positionV>
            <wp:extent cx="7510145" cy="4227195"/>
            <wp:effectExtent l="0" t="0" r="0" b="0"/>
            <wp:wrapNone/>
            <wp:docPr id="4" name="图片 1" desc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_01"/>
                    <pic:cNvPicPr>
                      <a:picLocks noChangeAspect="1"/>
                    </pic:cNvPicPr>
                  </pic:nvPicPr>
                  <pic:blipFill>
                    <a:blip r:embed="rId5"/>
                    <a:stretch>
                      <a:fillRect/>
                    </a:stretch>
                  </pic:blipFill>
                  <pic:spPr>
                    <a:xfrm>
                      <a:off x="0" y="0"/>
                      <a:ext cx="7510145" cy="4227195"/>
                    </a:xfrm>
                    <a:prstGeom prst="rect">
                      <a:avLst/>
                    </a:prstGeom>
                    <a:noFill/>
                    <a:ln w="9525" cap="flat" cmpd="sng">
                      <a:noFill/>
                      <a:prstDash val="solid"/>
                      <a:round/>
                    </a:ln>
                  </pic:spPr>
                </pic:pic>
              </a:graphicData>
            </a:graphic>
          </wp:anchor>
        </w:drawing>
      </w: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黑水县乡村振兴局</w:t>
      </w:r>
    </w:p>
    <w:p>
      <w:pPr>
        <w:pStyle w:val="12"/>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2023年县级配套资金</w:t>
      </w:r>
      <w:r>
        <w:rPr>
          <w:rFonts w:hint="eastAsia" w:ascii="方正小标宋_GBK" w:hAnsi="方正小标宋_GBK" w:eastAsia="方正小标宋_GBK" w:cs="方正小标宋_GBK"/>
          <w:b w:val="0"/>
          <w:bCs/>
          <w:sz w:val="44"/>
          <w:szCs w:val="44"/>
        </w:rPr>
        <w:t>支出绩效自评报告</w:t>
      </w:r>
    </w:p>
    <w:p>
      <w:pPr>
        <w:pStyle w:val="12"/>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 w:hAnsi="仿宋" w:eastAsia="仿宋" w:cs="仿宋"/>
          <w:sz w:val="32"/>
          <w:szCs w:val="32"/>
          <w:highlight w:val="none"/>
          <w:lang w:val="zh-CN"/>
        </w:rPr>
        <w:t>项目主要为巩固脱贫攻坚成果衔接推进乡村振兴有关建设任务的前期费用及项目缺口资金，</w:t>
      </w:r>
      <w:r>
        <w:rPr>
          <w:rFonts w:hint="eastAsia" w:ascii="仿宋" w:hAnsi="仿宋" w:eastAsia="仿宋" w:cs="仿宋"/>
          <w:sz w:val="32"/>
          <w:szCs w:val="32"/>
          <w:highlight w:val="none"/>
          <w:lang w:val="en-US" w:eastAsia="zh-CN"/>
        </w:rPr>
        <w:t>2023年度计划使用衔接资金</w:t>
      </w:r>
      <w:r>
        <w:rPr>
          <w:rFonts w:hint="eastAsia" w:ascii="楷体_GB2312" w:hAnsi="宋体" w:eastAsia="楷体_GB2312" w:cs="Times New Roman"/>
          <w:b w:val="0"/>
          <w:bCs/>
          <w:color w:val="auto"/>
          <w:sz w:val="32"/>
          <w:szCs w:val="32"/>
          <w:highlight w:val="none"/>
          <w:u w:val="none"/>
          <w:lang w:val="zh-CN" w:eastAsia="zh-CN"/>
        </w:rPr>
        <w:t>91.80</w:t>
      </w:r>
      <w:r>
        <w:rPr>
          <w:rFonts w:hint="eastAsia" w:ascii="仿宋" w:hAnsi="仿宋" w:eastAsia="仿宋" w:cs="仿宋"/>
          <w:sz w:val="32"/>
          <w:szCs w:val="32"/>
          <w:highlight w:val="none"/>
          <w:lang w:val="en-US" w:eastAsia="zh-CN"/>
        </w:rPr>
        <w:t>万元。</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color w:val="000000"/>
          <w:spacing w:val="8"/>
          <w:sz w:val="32"/>
          <w:szCs w:val="32"/>
          <w:highlight w:val="none"/>
          <w:lang w:eastAsia="zh-CN"/>
        </w:rPr>
        <w:t>县级衔接资金</w:t>
      </w:r>
      <w:r>
        <w:rPr>
          <w:rFonts w:hint="eastAsia" w:ascii="仿宋_GB2312" w:hAnsi="仿宋_GB2312" w:eastAsia="仿宋_GB2312" w:cs="仿宋_GB2312"/>
          <w:color w:val="000000"/>
          <w:spacing w:val="8"/>
          <w:sz w:val="32"/>
          <w:szCs w:val="32"/>
          <w:highlight w:val="none"/>
        </w:rPr>
        <w:t>主要用于</w:t>
      </w:r>
      <w:r>
        <w:rPr>
          <w:rFonts w:hint="eastAsia" w:ascii="仿宋_GB2312" w:hAnsi="仿宋_GB2312" w:eastAsia="仿宋_GB2312" w:cs="仿宋_GB2312"/>
          <w:color w:val="000000"/>
          <w:spacing w:val="8"/>
          <w:sz w:val="32"/>
          <w:szCs w:val="32"/>
          <w:highlight w:val="none"/>
          <w:lang w:val="en-US" w:eastAsia="zh-CN"/>
        </w:rPr>
        <w:t>上级衔接资金所支持投入的内容；衔接资金项目前后期费用；农村人居环境整治的三大革命（厕所革命、垃圾革命、污水革命）等支出；与巩固拓展脱贫攻坚成果同乡村振兴有效衔接相关的项目缺口资金，林地、征地费用，规划编制费用、服务采购费用等。</w:t>
      </w:r>
      <w:r>
        <w:rPr>
          <w:rFonts w:hint="eastAsia" w:ascii="仿宋_GB2312" w:hAnsi="仿宋_GB2312" w:eastAsia="仿宋_GB2312" w:cs="仿宋_GB2312"/>
          <w:color w:val="000000"/>
          <w:spacing w:val="9"/>
          <w:sz w:val="32"/>
          <w:szCs w:val="32"/>
          <w:highlight w:val="none"/>
        </w:rPr>
        <w:t>统筹整合的衔</w:t>
      </w:r>
      <w:r>
        <w:rPr>
          <w:rFonts w:hint="eastAsia" w:ascii="仿宋_GB2312" w:hAnsi="仿宋_GB2312" w:eastAsia="仿宋_GB2312" w:cs="仿宋_GB2312"/>
          <w:color w:val="000000"/>
          <w:spacing w:val="8"/>
          <w:sz w:val="32"/>
          <w:szCs w:val="32"/>
          <w:highlight w:val="none"/>
        </w:rPr>
        <w:t>接资金，按照</w:t>
      </w:r>
      <w:r>
        <w:rPr>
          <w:rFonts w:hint="eastAsia" w:ascii="仿宋_GB2312" w:hAnsi="仿宋_GB2312" w:eastAsia="仿宋_GB2312" w:cs="仿宋_GB2312"/>
          <w:color w:val="000000"/>
          <w:spacing w:val="6"/>
          <w:sz w:val="32"/>
          <w:szCs w:val="32"/>
          <w:highlight w:val="none"/>
        </w:rPr>
        <w:t>整合后的相关项</w:t>
      </w:r>
      <w:r>
        <w:rPr>
          <w:rFonts w:hint="eastAsia" w:ascii="仿宋_GB2312" w:hAnsi="仿宋_GB2312" w:eastAsia="仿宋_GB2312" w:cs="仿宋_GB2312"/>
          <w:color w:val="000000"/>
          <w:spacing w:val="8"/>
          <w:sz w:val="32"/>
          <w:szCs w:val="32"/>
          <w:highlight w:val="none"/>
          <w:lang w:val="en-US" w:eastAsia="zh-CN"/>
        </w:rPr>
        <w:t>目资金管理办法规定执行。</w:t>
      </w:r>
    </w:p>
    <w:p>
      <w:pPr>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 w:hAnsi="仿宋" w:eastAsia="仿宋" w:cs="仿宋"/>
          <w:sz w:val="32"/>
          <w:szCs w:val="32"/>
          <w:highlight w:val="none"/>
          <w:lang w:val="en-US" w:eastAsia="zh-CN"/>
        </w:rPr>
        <w:t>2023年申报县级项目配套所需资金</w:t>
      </w:r>
      <w:r>
        <w:rPr>
          <w:rFonts w:hint="eastAsia" w:ascii="楷体_GB2312" w:hAnsi="宋体" w:eastAsia="楷体_GB2312" w:cs="Times New Roman"/>
          <w:b w:val="0"/>
          <w:bCs/>
          <w:color w:val="auto"/>
          <w:sz w:val="32"/>
          <w:szCs w:val="32"/>
          <w:highlight w:val="none"/>
          <w:u w:val="none"/>
          <w:lang w:val="zh-CN" w:eastAsia="zh-CN"/>
        </w:rPr>
        <w:t>91.80</w:t>
      </w:r>
      <w:r>
        <w:rPr>
          <w:rFonts w:hint="eastAsia" w:ascii="仿宋" w:hAnsi="仿宋" w:eastAsia="仿宋" w:cs="仿宋"/>
          <w:sz w:val="32"/>
          <w:szCs w:val="32"/>
          <w:highlight w:val="none"/>
          <w:lang w:val="en-US" w:eastAsia="zh-CN"/>
        </w:rPr>
        <w:t>万元，匹配衔接资金</w:t>
      </w:r>
      <w:r>
        <w:rPr>
          <w:rFonts w:hint="eastAsia" w:ascii="楷体_GB2312" w:hAnsi="宋体" w:eastAsia="楷体_GB2312" w:cs="Times New Roman"/>
          <w:b w:val="0"/>
          <w:bCs/>
          <w:color w:val="auto"/>
          <w:sz w:val="32"/>
          <w:szCs w:val="32"/>
          <w:highlight w:val="none"/>
          <w:u w:val="none"/>
          <w:lang w:val="zh-CN" w:eastAsia="zh-CN"/>
        </w:rPr>
        <w:t>91.80</w:t>
      </w:r>
      <w:r>
        <w:rPr>
          <w:rFonts w:hint="eastAsia" w:ascii="仿宋" w:hAnsi="仿宋" w:eastAsia="仿宋" w:cs="仿宋"/>
          <w:sz w:val="32"/>
          <w:szCs w:val="32"/>
          <w:highlight w:val="none"/>
          <w:lang w:val="en-US" w:eastAsia="zh-CN"/>
        </w:rPr>
        <w:t>万元，资金匹配率100%。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eastAsia" w:ascii="仿宋GB231" w:hAnsi="仿宋GB231" w:eastAsia="仿宋GB231" w:cs="仿宋GB231"/>
          <w:color w:val="auto"/>
          <w:kern w:val="2"/>
          <w:sz w:val="32"/>
          <w:szCs w:val="32"/>
          <w:lang w:val="zh-CN" w:eastAsia="zh-CN" w:bidi="ar-SA"/>
        </w:rPr>
      </w:pP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 w:hAnsi="仿宋" w:eastAsia="仿宋" w:cs="仿宋"/>
          <w:b w:val="0"/>
          <w:bCs w:val="0"/>
          <w:sz w:val="32"/>
          <w:szCs w:val="32"/>
          <w:highlight w:val="none"/>
          <w:lang w:val="en-US" w:eastAsia="zh-CN"/>
        </w:rPr>
        <w:t>绩效目标设置主要从产出指标、数量指标、成本指标、效益指标、满意度指标方面进行设置。项目实施进度均按照申报的绩效指标有序运行,</w:t>
      </w:r>
      <w:r>
        <w:rPr>
          <w:rFonts w:hint="eastAsia" w:ascii="仿宋GB231" w:hAnsi="仿宋GB231" w:eastAsia="仿宋GB231" w:cs="仿宋GB231"/>
          <w:color w:val="auto"/>
          <w:kern w:val="2"/>
          <w:sz w:val="32"/>
          <w:szCs w:val="32"/>
          <w:lang w:val="en-US" w:eastAsia="zh-CN" w:bidi="ar-SA"/>
        </w:rPr>
        <w:t>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eastAsia="仿宋_GB2312" w:cs="Times New Roman"/>
          <w:szCs w:val="32"/>
        </w:rPr>
      </w:pPr>
      <w:r>
        <w:rPr>
          <w:rFonts w:hint="eastAsia" w:ascii="楷体_GB2312" w:hAnsi="宋体" w:eastAsia="楷体_GB2312"/>
          <w:b/>
          <w:color w:val="auto"/>
          <w:sz w:val="32"/>
          <w:szCs w:val="32"/>
          <w:highlight w:val="none"/>
          <w:u w:val="none"/>
          <w:lang w:val="zh-CN"/>
        </w:rPr>
        <w:t>（一）评价目的。</w:t>
      </w:r>
      <w:r>
        <w:rPr>
          <w:rFonts w:eastAsia="仿宋_GB2312" w:cs="Times New Roman"/>
          <w:szCs w:val="32"/>
        </w:rPr>
        <w:t>通过</w:t>
      </w:r>
      <w:r>
        <w:rPr>
          <w:rFonts w:hint="eastAsia" w:cs="Times New Roman"/>
          <w:szCs w:val="32"/>
          <w:lang w:eastAsia="zh-CN"/>
        </w:rPr>
        <w:t>项目</w:t>
      </w:r>
      <w:r>
        <w:rPr>
          <w:rFonts w:hint="eastAsia" w:eastAsia="仿宋_GB2312" w:cs="Times New Roman"/>
          <w:szCs w:val="32"/>
        </w:rPr>
        <w:t>绩效</w:t>
      </w:r>
      <w:r>
        <w:rPr>
          <w:rFonts w:hint="eastAsia" w:cs="Times New Roman"/>
          <w:szCs w:val="32"/>
          <w:lang w:eastAsia="zh-CN"/>
        </w:rPr>
        <w:t>自评。</w:t>
      </w:r>
      <w:r>
        <w:rPr>
          <w:rFonts w:hint="eastAsia" w:cs="Times New Roman"/>
          <w:b/>
          <w:bCs/>
          <w:szCs w:val="32"/>
          <w:lang w:eastAsia="zh-CN"/>
        </w:rPr>
        <w:t>一是</w:t>
      </w:r>
      <w:r>
        <w:rPr>
          <w:rFonts w:hint="eastAsia" w:cs="Times New Roman"/>
          <w:szCs w:val="32"/>
          <w:lang w:eastAsia="zh-CN"/>
        </w:rPr>
        <w:t>提高资金使用效益：通过对县级配套资金项目的支出绩效进行自评，可以掌握项目资金的使用情况，确保资金用在刀刃上，提高资金的使用效益。</w:t>
      </w:r>
      <w:r>
        <w:rPr>
          <w:rFonts w:hint="eastAsia" w:cs="Times New Roman"/>
          <w:b/>
          <w:bCs/>
          <w:szCs w:val="32"/>
          <w:lang w:eastAsia="zh-CN"/>
        </w:rPr>
        <w:t>二是</w:t>
      </w:r>
      <w:r>
        <w:rPr>
          <w:rFonts w:hint="eastAsia" w:cs="Times New Roman"/>
          <w:szCs w:val="32"/>
          <w:lang w:eastAsia="zh-CN"/>
        </w:rPr>
        <w:t>监控项目进展：通过对项目支出绩效的自评，可以了解项目的实施进度成果，及时发现和解决问题，确保项目的顺利推进。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eastAsia="zh-CN"/>
        </w:rPr>
        <w:t>（二）预设问题及评价重点。</w:t>
      </w:r>
      <w:r>
        <w:rPr>
          <w:rFonts w:hint="eastAsia" w:eastAsia="仿宋_GB2312" w:cs="Times New Roman"/>
          <w:szCs w:val="32"/>
        </w:rPr>
        <w:t>按照绩效评价指标体系，对资金支出使用全过程及其实施效果进行综合评价和判断</w:t>
      </w:r>
      <w:r>
        <w:rPr>
          <w:rFonts w:hint="eastAsia" w:eastAsia="仿宋_GB2312" w:cs="Times New Roman"/>
          <w:szCs w:val="32"/>
          <w:lang w:eastAsia="zh-CN"/>
        </w:rPr>
        <w:t>。</w:t>
      </w:r>
      <w:r>
        <w:rPr>
          <w:rFonts w:hint="eastAsia" w:cs="Times New Roman"/>
          <w:b/>
          <w:bCs/>
          <w:szCs w:val="32"/>
          <w:lang w:eastAsia="zh-CN"/>
        </w:rPr>
        <w:t>一是</w:t>
      </w:r>
      <w:r>
        <w:rPr>
          <w:rFonts w:hint="eastAsia" w:eastAsia="仿宋_GB2312" w:cs="Times New Roman"/>
          <w:szCs w:val="32"/>
          <w:lang w:eastAsia="zh-CN"/>
        </w:rPr>
        <w:t>绩效目标设定合理性：评价项目绩效目标是否明确、具体、可衡量，以及是否与预算编制和项目实施紧密相关。</w:t>
      </w:r>
      <w:r>
        <w:rPr>
          <w:rFonts w:hint="eastAsia" w:cs="Times New Roman"/>
          <w:b/>
          <w:bCs/>
          <w:szCs w:val="32"/>
          <w:lang w:eastAsia="zh-CN"/>
        </w:rPr>
        <w:t>二是</w:t>
      </w:r>
      <w:r>
        <w:rPr>
          <w:rFonts w:hint="eastAsia" w:eastAsia="仿宋_GB2312" w:cs="Times New Roman"/>
          <w:szCs w:val="32"/>
          <w:lang w:eastAsia="zh-CN"/>
        </w:rPr>
        <w:t>资金使用合规性：检查项目资金使用是否符合相关法律法规和财政政策，是否存在违规使用资金的情况。</w:t>
      </w:r>
      <w:r>
        <w:rPr>
          <w:rFonts w:hint="eastAsia" w:cs="Times New Roman"/>
          <w:b/>
          <w:bCs/>
          <w:szCs w:val="32"/>
          <w:lang w:eastAsia="zh-CN"/>
        </w:rPr>
        <w:t>三是</w:t>
      </w:r>
      <w:r>
        <w:rPr>
          <w:rFonts w:hint="eastAsia" w:eastAsia="仿宋_GB2312" w:cs="Times New Roman"/>
          <w:szCs w:val="32"/>
          <w:lang w:eastAsia="zh-CN"/>
        </w:rPr>
        <w:t>项目实施进度：评估项目是否按照既定的时间表和进度推进，是否按时完成各个阶段的目标。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GB231" w:hAnsi="仿宋GB231" w:eastAsia="仿宋GB231" w:cs="仿宋GB231"/>
          <w:color w:val="auto"/>
          <w:kern w:val="2"/>
          <w:sz w:val="32"/>
          <w:szCs w:val="32"/>
          <w:lang w:val="zh-CN" w:eastAsia="zh-CN" w:bidi="ar-SA"/>
        </w:rPr>
        <w:t>项目绩效自评所抽样点位</w:t>
      </w:r>
      <w:r>
        <w:rPr>
          <w:rFonts w:hint="eastAsia" w:ascii="仿宋GB231" w:hAnsi="仿宋GB231" w:eastAsia="仿宋GB231" w:cs="仿宋GB231"/>
          <w:color w:val="auto"/>
          <w:kern w:val="2"/>
          <w:sz w:val="32"/>
          <w:szCs w:val="32"/>
          <w:lang w:val="en-US" w:eastAsia="zh-CN" w:bidi="ar-SA"/>
        </w:rPr>
        <w:t>为维古乡西苏瓜子村矮化密植苹果产业基地建设项目等</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eastAsia="仿宋_GB2312" w:cs="Times New Roman"/>
          <w:szCs w:val="32"/>
          <w:lang w:eastAsia="zh-CN"/>
        </w:rPr>
      </w:pPr>
      <w:r>
        <w:rPr>
          <w:rFonts w:hint="eastAsia" w:ascii="楷体_GB2312" w:hAnsi="宋体" w:eastAsia="楷体_GB2312"/>
          <w:b/>
          <w:color w:val="auto"/>
          <w:sz w:val="32"/>
          <w:szCs w:val="32"/>
          <w:highlight w:val="none"/>
          <w:u w:val="none"/>
          <w:lang w:val="zh-CN"/>
        </w:rPr>
        <w:t>（四）评价方法。</w:t>
      </w:r>
      <w:r>
        <w:rPr>
          <w:rFonts w:hint="eastAsia" w:ascii="仿宋GB231" w:hAnsi="仿宋GB231" w:eastAsia="仿宋GB231" w:cs="仿宋GB231"/>
          <w:color w:val="auto"/>
          <w:kern w:val="2"/>
          <w:sz w:val="32"/>
          <w:szCs w:val="32"/>
          <w:lang w:val="en-US" w:eastAsia="zh-CN" w:bidi="ar-SA"/>
        </w:rPr>
        <w:t>评价方法采用</w:t>
      </w:r>
      <w:r>
        <w:rPr>
          <w:rFonts w:hint="eastAsia" w:ascii="仿宋GB231" w:hAnsi="仿宋GB231" w:eastAsia="仿宋GB231" w:cs="仿宋GB231"/>
          <w:color w:val="auto"/>
          <w:kern w:val="2"/>
          <w:sz w:val="32"/>
          <w:szCs w:val="32"/>
          <w:lang w:val="zh-CN" w:eastAsia="zh-CN" w:bidi="ar-SA"/>
        </w:rPr>
        <w:t>实地勘察法、座谈调研法等。</w:t>
      </w:r>
    </w:p>
    <w:p>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（五）评价组织。</w:t>
      </w:r>
      <w:r>
        <w:rPr>
          <w:rFonts w:eastAsia="仿宋_GB2312" w:cs="Times New Roman"/>
          <w:szCs w:val="32"/>
        </w:rPr>
        <w:t>评价组人员构成</w:t>
      </w:r>
      <w:r>
        <w:rPr>
          <w:rFonts w:hint="eastAsia" w:cs="Times New Roman"/>
          <w:szCs w:val="32"/>
          <w:lang w:eastAsia="zh-CN"/>
        </w:rPr>
        <w:t>和</w:t>
      </w:r>
      <w:r>
        <w:rPr>
          <w:rFonts w:eastAsia="仿宋_GB2312" w:cs="Times New Roman"/>
          <w:szCs w:val="32"/>
        </w:rPr>
        <w:t>职责分工</w:t>
      </w:r>
      <w:r>
        <w:rPr>
          <w:rFonts w:hint="eastAsia" w:cs="Times New Roman"/>
          <w:szCs w:val="32"/>
          <w:lang w:eastAsia="zh-CN"/>
        </w:rPr>
        <w:t>。我局</w:t>
      </w:r>
      <w:r>
        <w:rPr>
          <w:rFonts w:hint="eastAsia" w:ascii="仿宋" w:hAnsi="仿宋" w:eastAsia="仿宋" w:cs="仿宋"/>
          <w:b w:val="0"/>
          <w:bCs w:val="0"/>
          <w:sz w:val="32"/>
          <w:szCs w:val="32"/>
          <w:lang w:val="zh-CN" w:eastAsia="zh-CN"/>
        </w:rPr>
        <w:t>成立了由主要领导任组长，分管领导和项目股工作人员任成员的工作组织架构</w:t>
      </w:r>
      <w:r>
        <w:rPr>
          <w:rFonts w:hint="eastAsia" w:ascii="仿宋GB231" w:hAnsi="仿宋GB231" w:eastAsia="仿宋GB231" w:cs="仿宋GB231"/>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lang w:val="en-US" w:eastAsia="zh-CN"/>
        </w:rPr>
        <w:t>我单位</w:t>
      </w:r>
      <w:r>
        <w:rPr>
          <w:rFonts w:hint="eastAsia" w:ascii="仿宋GB231" w:hAnsi="仿宋GB231" w:eastAsia="仿宋GB231" w:cs="仿宋GB231"/>
          <w:color w:val="auto"/>
          <w:kern w:val="2"/>
          <w:sz w:val="32"/>
          <w:szCs w:val="32"/>
          <w:lang w:val="en-US" w:eastAsia="zh-CN" w:bidi="ar-SA"/>
        </w:rPr>
        <w:t>县级配套资金项目</w:t>
      </w:r>
      <w:r>
        <w:rPr>
          <w:rFonts w:hint="eastAsia"/>
          <w:lang w:val="en-US" w:eastAsia="zh-CN"/>
        </w:rPr>
        <w:t>绩效评价总分为</w:t>
      </w:r>
      <w:r>
        <w:rPr>
          <w:rFonts w:hint="eastAsia" w:ascii="仿宋GB231" w:hAnsi="仿宋GB231" w:eastAsia="仿宋GB231" w:cs="仿宋GB231"/>
          <w:color w:val="auto"/>
          <w:kern w:val="2"/>
          <w:sz w:val="32"/>
          <w:szCs w:val="32"/>
          <w:lang w:val="en-US" w:eastAsia="zh-CN" w:bidi="ar-SA"/>
        </w:rPr>
        <w:t>98分。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eastAsia="楷体_GB2312" w:cs="Times New Roman"/>
          <w:b/>
          <w:bCs/>
          <w:color w:val="000000"/>
          <w:kern w:val="0"/>
          <w:szCs w:val="32"/>
          <w:highlight w:val="none"/>
          <w:shd w:val="clear" w:color="auto" w:fill="FFFFFF"/>
          <w:lang w:val="zh-CN"/>
        </w:rPr>
        <w:t>（</w:t>
      </w:r>
      <w:r>
        <w:rPr>
          <w:rFonts w:hint="eastAsia" w:ascii="仿宋GB231" w:hAnsi="仿宋GB231" w:eastAsia="仿宋GB231" w:cs="仿宋GB231"/>
          <w:color w:val="auto"/>
          <w:kern w:val="2"/>
          <w:sz w:val="32"/>
          <w:szCs w:val="32"/>
          <w:lang w:val="en-US" w:eastAsia="zh-CN" w:bidi="ar-SA"/>
        </w:rPr>
        <w:t>得分：52分</w:t>
      </w:r>
      <w:r>
        <w:rPr>
          <w:rFonts w:hint="eastAsia" w:eastAsia="楷体_GB2312" w:cs="Times New Roman"/>
          <w:b/>
          <w:bCs/>
          <w:color w:val="000000"/>
          <w:kern w:val="0"/>
          <w:szCs w:val="32"/>
          <w:highlight w:val="none"/>
          <w:shd w:val="clear" w:color="auto" w:fill="FFFFFF"/>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Cs w:val="32"/>
          <w:lang w:val="en-US" w:eastAsia="zh-CN"/>
        </w:rPr>
        <w:t>1.</w:t>
      </w:r>
      <w:r>
        <w:rPr>
          <w:rFonts w:hint="eastAsia" w:ascii="仿宋_GB2312" w:hAnsi="仿宋_GB2312" w:eastAsia="仿宋_GB2312" w:cs="仿宋_GB2312"/>
          <w:b/>
          <w:bCs/>
          <w:color w:val="auto"/>
          <w:szCs w:val="32"/>
          <w:lang w:eastAsia="zh-CN"/>
        </w:rPr>
        <w:t>项目决策。</w:t>
      </w:r>
      <w:r>
        <w:rPr>
          <w:rFonts w:hint="eastAsia" w:ascii="仿宋GB231" w:hAnsi="仿宋GB231" w:eastAsia="仿宋GB231" w:cs="仿宋GB231"/>
          <w:color w:val="auto"/>
          <w:kern w:val="2"/>
          <w:sz w:val="32"/>
          <w:szCs w:val="32"/>
          <w:lang w:val="en-US" w:eastAsia="zh-CN" w:bidi="ar-SA"/>
        </w:rPr>
        <w:t>项目设立、调整延续等方面符合资金管理基本规范和决策程序，属于政府支持范围，且符合财政事权支出责任划分规定，未与其他同类项目或部门内部相关项目交叉重复。（得分：18分）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（1）决策程序：项目决策程序严密。（得分：6分）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w:t>
      </w:r>
      <w:r>
        <w:rPr>
          <w:rFonts w:hint="default" w:ascii="仿宋GB231" w:hAnsi="仿宋GB231" w:eastAsia="仿宋GB231" w:cs="仿宋GB231"/>
          <w:color w:val="auto"/>
          <w:kern w:val="2"/>
          <w:sz w:val="32"/>
          <w:szCs w:val="32"/>
          <w:lang w:val="en-US" w:eastAsia="zh-CN" w:bidi="ar-SA"/>
        </w:rPr>
        <w:t>规划论证</w:t>
      </w:r>
      <w:r>
        <w:rPr>
          <w:rFonts w:hint="eastAsia" w:ascii="仿宋GB231" w:hAnsi="仿宋GB231" w:eastAsia="仿宋GB231" w:cs="仿宋GB231"/>
          <w:color w:val="auto"/>
          <w:kern w:val="2"/>
          <w:sz w:val="32"/>
          <w:szCs w:val="32"/>
          <w:lang w:val="en-US" w:eastAsia="zh-CN" w:bidi="ar-SA"/>
        </w:rPr>
        <w:t>：</w:t>
      </w:r>
      <w:r>
        <w:rPr>
          <w:rFonts w:hint="default" w:ascii="仿宋GB231" w:hAnsi="仿宋GB231" w:eastAsia="仿宋GB231" w:cs="仿宋GB231"/>
          <w:color w:val="auto"/>
          <w:kern w:val="2"/>
          <w:sz w:val="32"/>
          <w:szCs w:val="32"/>
          <w:lang w:val="en-US" w:eastAsia="zh-CN" w:bidi="ar-SA"/>
        </w:rPr>
        <w:t>项目规划论证符合</w:t>
      </w:r>
      <w:bookmarkStart w:id="1" w:name="_GoBack"/>
      <w:bookmarkEnd w:id="1"/>
      <w:r>
        <w:rPr>
          <w:rFonts w:hint="eastAsia" w:ascii="仿宋GB231" w:hAnsi="仿宋GB231" w:eastAsia="仿宋GB231" w:cs="仿宋GB231"/>
          <w:color w:val="auto"/>
          <w:kern w:val="2"/>
          <w:sz w:val="32"/>
          <w:szCs w:val="32"/>
          <w:lang w:val="en-US" w:eastAsia="zh-CN" w:bidi="ar-SA"/>
        </w:rPr>
        <w:t>中央、省委</w:t>
      </w:r>
      <w:r>
        <w:rPr>
          <w:rFonts w:hint="default" w:ascii="仿宋GB231" w:hAnsi="仿宋GB231" w:eastAsia="仿宋GB231" w:cs="仿宋GB231"/>
          <w:color w:val="auto"/>
          <w:kern w:val="2"/>
          <w:sz w:val="32"/>
          <w:szCs w:val="32"/>
          <w:lang w:val="en-US" w:eastAsia="zh-CN" w:bidi="ar-SA"/>
        </w:rPr>
        <w:t>要求，项目绩效目标设置科学合理</w:t>
      </w:r>
      <w:r>
        <w:rPr>
          <w:rFonts w:hint="eastAsia" w:ascii="仿宋GB231" w:hAnsi="仿宋GB231" w:eastAsia="仿宋GB231" w:cs="仿宋GB231"/>
          <w:color w:val="auto"/>
          <w:kern w:val="2"/>
          <w:sz w:val="32"/>
          <w:szCs w:val="32"/>
          <w:lang w:val="en-US" w:eastAsia="zh-CN" w:bidi="ar-SA"/>
        </w:rPr>
        <w:t>。（得分：6分）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（3）资金投向：项目资金与项目总体规划、相关行业事业发展相匹配，聚焦重大任务、重点领域、重点环节和重点项目。（得分：6分）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cs="仿宋_GB2312"/>
          <w:b/>
          <w:bCs/>
          <w:color w:val="auto"/>
          <w:szCs w:val="32"/>
          <w:lang w:val="en-US" w:eastAsia="zh-CN"/>
        </w:rPr>
        <w:t>2.</w:t>
      </w:r>
      <w:r>
        <w:rPr>
          <w:rFonts w:hint="eastAsia" w:ascii="仿宋_GB2312" w:hAnsi="仿宋_GB2312" w:eastAsia="仿宋_GB2312" w:cs="仿宋_GB2312"/>
          <w:b/>
          <w:bCs/>
          <w:color w:val="auto"/>
          <w:szCs w:val="32"/>
          <w:lang w:eastAsia="zh-CN"/>
        </w:rPr>
        <w:t>项目管理。</w:t>
      </w:r>
      <w:r>
        <w:rPr>
          <w:rFonts w:hint="eastAsia" w:ascii="仿宋GB231" w:hAnsi="仿宋GB231" w:eastAsia="仿宋GB231" w:cs="仿宋GB231"/>
          <w:color w:val="auto"/>
          <w:kern w:val="2"/>
          <w:sz w:val="32"/>
          <w:szCs w:val="32"/>
          <w:lang w:val="en-US" w:eastAsia="zh-CN" w:bidi="ar-SA"/>
        </w:rPr>
        <w:t>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得分：16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（1）制度办法：项目制度办法体系健全、要素完备。（得分：2分）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（2）分配管理：项目资金分配因素选取、权重设置、区域分布，项目管理、审批符合管理要求（得分：8分）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（3）绩效监管：管项目绩效监管按要求开展，对下指导有力有效。（得分：6分）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Cs w:val="32"/>
          <w:lang w:val="en-US" w:eastAsia="zh-CN"/>
        </w:rPr>
        <w:t>3.项目实施。</w:t>
      </w:r>
      <w:r>
        <w:rPr>
          <w:rFonts w:hint="eastAsia" w:ascii="仿宋GB231" w:hAnsi="仿宋GB231" w:eastAsia="仿宋GB231" w:cs="仿宋GB231"/>
          <w:color w:val="auto"/>
          <w:kern w:val="2"/>
          <w:sz w:val="32"/>
          <w:szCs w:val="32"/>
          <w:lang w:val="en-US" w:eastAsia="zh-CN" w:bidi="ar-SA"/>
        </w:rPr>
        <w:t>项目资金使用、拨付符合国家财经法规、不存在超范围、超标准、超进度使用专项资金以及资金损失浪费、长期沉淀、截留、挤占、挪用、虚列支出等问题，项目实施是否遵守相关法律法规，未发现处不合规的。（得分：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（1）预算执行：项目资金财政拨付、单位执行和地方配套到位情况良好。（得分：6分）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（2）资金使用：资金使用拨付、项目实施符合规定（得分：3分）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GB231" w:hAnsi="仿宋GB231" w:eastAsia="仿宋GB231" w:cs="仿宋GB231"/>
          <w:color w:val="auto"/>
          <w:kern w:val="2"/>
          <w:sz w:val="32"/>
          <w:szCs w:val="32"/>
          <w:lang w:val="en-US" w:eastAsia="zh-CN" w:bidi="ar-SA"/>
        </w:rPr>
        <w:t>项目已完成预期目标，实施结果与绩效目标一致，实际完成时间未超出计划完成时间。（得分：9分）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（1）目标完成：项目完成预期目标，实施结果与绩效目标相匹配，反映目标实现程度（得分：6分）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（2）完成时效：项目实际完成时间与计划完成时间相符合。（得分：3分）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en-US"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eastAsia="楷体_GB2312" w:cs="Times New Roman"/>
          <w:b/>
          <w:bCs/>
          <w:color w:val="000000"/>
          <w:kern w:val="0"/>
          <w:szCs w:val="32"/>
          <w:highlight w:val="none"/>
          <w:shd w:val="clear" w:color="auto" w:fill="FFFFFF"/>
          <w:lang w:val="zh-CN"/>
        </w:rPr>
        <w:t>（</w:t>
      </w:r>
      <w:r>
        <w:rPr>
          <w:rFonts w:hint="eastAsia" w:ascii="仿宋GB231" w:hAnsi="仿宋GB231" w:eastAsia="仿宋GB231" w:cs="仿宋GB231"/>
          <w:color w:val="auto"/>
          <w:kern w:val="2"/>
          <w:sz w:val="32"/>
          <w:szCs w:val="32"/>
          <w:lang w:val="en-US" w:eastAsia="zh-CN" w:bidi="ar-SA"/>
        </w:rPr>
        <w:t>得分：30分</w:t>
      </w:r>
      <w:r>
        <w:rPr>
          <w:rFonts w:hint="eastAsia" w:eastAsia="楷体_GB2312" w:cs="Times New Roman"/>
          <w:b/>
          <w:bCs/>
          <w:color w:val="000000"/>
          <w:kern w:val="0"/>
          <w:szCs w:val="32"/>
          <w:highlight w:val="none"/>
          <w:shd w:val="clear" w:color="auto" w:fill="FFFFFF"/>
          <w:lang w:val="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w:t>
      </w:r>
      <w:r>
        <w:rPr>
          <w:rFonts w:hint="eastAsia" w:ascii="楷体_GB2312" w:hAnsi="宋体" w:eastAsia="楷体_GB2312" w:cs="Times New Roman"/>
          <w:b/>
          <w:color w:val="auto"/>
          <w:sz w:val="32"/>
          <w:szCs w:val="32"/>
          <w:highlight w:val="none"/>
          <w:u w:val="none"/>
          <w:lang w:val="en-US" w:eastAsia="zh-CN"/>
        </w:rPr>
        <w:t>产业发展方面</w:t>
      </w:r>
      <w:r>
        <w:rPr>
          <w:rFonts w:hint="eastAsia" w:ascii="仿宋GB231" w:hAnsi="仿宋GB231" w:eastAsia="仿宋GB231" w:cs="仿宋GB231"/>
          <w:color w:val="auto"/>
          <w:kern w:val="2"/>
          <w:sz w:val="32"/>
          <w:szCs w:val="32"/>
          <w:lang w:val="en-US" w:eastAsia="zh-CN" w:bidi="ar-SA"/>
        </w:rPr>
        <w:t>：该项目不涉及产业发展。（得分0分）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w:t>
      </w:r>
      <w:r>
        <w:rPr>
          <w:rFonts w:hint="eastAsia" w:ascii="楷体_GB2312" w:hAnsi="宋体" w:eastAsia="楷体_GB2312" w:cs="Times New Roman"/>
          <w:b/>
          <w:color w:val="auto"/>
          <w:sz w:val="32"/>
          <w:szCs w:val="32"/>
          <w:highlight w:val="none"/>
          <w:u w:val="none"/>
          <w:lang w:val="zh-CN" w:eastAsia="zh-CN"/>
        </w:rPr>
        <w:t>民生保障方面</w:t>
      </w:r>
      <w:r>
        <w:rPr>
          <w:rFonts w:hint="eastAsia" w:ascii="仿宋GB231" w:hAnsi="仿宋GB231" w:eastAsia="仿宋GB231" w:cs="仿宋GB231"/>
          <w:color w:val="auto"/>
          <w:kern w:val="2"/>
          <w:sz w:val="32"/>
          <w:szCs w:val="32"/>
          <w:lang w:val="en-US" w:eastAsia="zh-CN" w:bidi="ar-SA"/>
        </w:rPr>
        <w:t>。该项目不涉及民生保障。（得分0分）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3.</w:t>
      </w:r>
      <w:r>
        <w:rPr>
          <w:rFonts w:hint="eastAsia" w:ascii="楷体_GB2312" w:hAnsi="宋体" w:eastAsia="楷体_GB2312" w:cs="Times New Roman"/>
          <w:b/>
          <w:color w:val="auto"/>
          <w:sz w:val="32"/>
          <w:szCs w:val="32"/>
          <w:highlight w:val="none"/>
          <w:u w:val="none"/>
          <w:lang w:val="zh-CN" w:eastAsia="zh-CN"/>
        </w:rPr>
        <w:t>基础设施方面：</w:t>
      </w:r>
      <w:r>
        <w:rPr>
          <w:rFonts w:hint="eastAsia" w:ascii="仿宋GB231" w:hAnsi="仿宋GB231" w:eastAsia="仿宋GB231" w:cs="仿宋GB231"/>
          <w:color w:val="auto"/>
          <w:kern w:val="2"/>
          <w:sz w:val="32"/>
          <w:szCs w:val="32"/>
          <w:lang w:val="zh-CN" w:eastAsia="zh-CN" w:bidi="ar-SA"/>
        </w:rPr>
        <w:t>内容包括解决衔接资金项目前后期费用以及项目缺口资金，我县2023年县级配套资金项目均完成项目资金支付。项目实施流程合规，资金支付、结余调整均符合管理要求</w:t>
      </w:r>
      <w:r>
        <w:rPr>
          <w:rFonts w:hint="eastAsia" w:ascii="仿宋GB231" w:hAnsi="仿宋GB231" w:eastAsia="仿宋GB231" w:cs="仿宋GB231"/>
          <w:color w:val="auto"/>
          <w:kern w:val="2"/>
          <w:sz w:val="32"/>
          <w:szCs w:val="32"/>
          <w:lang w:val="en-US" w:eastAsia="zh-CN" w:bidi="ar-SA"/>
        </w:rPr>
        <w:t>。（得分：30分）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（1）在建项目工程进度：项目达到计划工程进度。（得分：15分）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（2）在建项目资金拨付：项目达到预先确定的资金拨付进度。（得分：15分）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ascii="仿宋GB231" w:hAnsi="仿宋GB231" w:eastAsia="仿宋GB231" w:cs="仿宋GB231"/>
          <w:color w:val="auto"/>
          <w:kern w:val="2"/>
          <w:sz w:val="32"/>
          <w:szCs w:val="32"/>
          <w:lang w:val="en-US" w:eastAsia="zh-CN" w:bidi="ar-SA"/>
        </w:rPr>
        <w:t>（得分：16分）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仿宋GB231" w:hAnsi="仿宋GB231" w:eastAsia="仿宋GB231" w:cs="仿宋GB231"/>
          <w:color w:val="auto"/>
          <w:kern w:val="2"/>
          <w:sz w:val="32"/>
          <w:szCs w:val="32"/>
          <w:lang w:val="en-US" w:eastAsia="zh-CN" w:bidi="ar-SA"/>
        </w:rPr>
        <w:t>该项目属于</w:t>
      </w:r>
      <w:r>
        <w:rPr>
          <w:rFonts w:hint="eastAsia" w:ascii="仿宋GB231" w:hAnsi="仿宋GB231" w:eastAsia="仿宋GB231" w:cs="仿宋GB231"/>
          <w:color w:val="auto"/>
          <w:kern w:val="2"/>
          <w:sz w:val="32"/>
          <w:szCs w:val="32"/>
          <w:lang w:val="zh-CN" w:eastAsia="zh-CN" w:bidi="ar-SA"/>
        </w:rPr>
        <w:t>解决衔接资金项目前后期费用以及项目缺口资金</w:t>
      </w:r>
      <w:r>
        <w:rPr>
          <w:rFonts w:hint="eastAsia" w:ascii="仿宋GB231" w:hAnsi="仿宋GB231" w:eastAsia="仿宋GB231" w:cs="仿宋GB231"/>
          <w:color w:val="auto"/>
          <w:kern w:val="2"/>
          <w:sz w:val="32"/>
          <w:szCs w:val="32"/>
          <w:lang w:val="en-US" w:eastAsia="zh-CN" w:bidi="ar-SA"/>
        </w:rPr>
        <w:t>，严格按照相关政策进行报账支付，执行进度、资金拨付进度、项目效果均达到预期目标</w:t>
      </w:r>
      <w:r>
        <w:rPr>
          <w:rFonts w:hint="eastAsia" w:ascii="仿宋GB231" w:hAnsi="仿宋GB231" w:eastAsia="仿宋GB231" w:cs="仿宋GB231"/>
          <w:color w:val="auto"/>
          <w:kern w:val="2"/>
          <w:sz w:val="32"/>
          <w:szCs w:val="32"/>
          <w:lang w:val="zh-CN" w:eastAsia="zh-CN" w:bidi="ar-SA"/>
        </w:rPr>
        <w:t>。（</w:t>
      </w:r>
      <w:r>
        <w:rPr>
          <w:rFonts w:hint="eastAsia" w:ascii="仿宋GB231" w:hAnsi="仿宋GB231" w:eastAsia="仿宋GB231" w:cs="仿宋GB231"/>
          <w:color w:val="auto"/>
          <w:kern w:val="2"/>
          <w:sz w:val="32"/>
          <w:szCs w:val="32"/>
          <w:lang w:val="en-US" w:eastAsia="zh-CN" w:bidi="ar-SA"/>
        </w:rPr>
        <w:t>得分：16分</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执行进度：项目如期完成。（得分：5分）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default" w:ascii="仿宋GB231" w:hAnsi="仿宋GB231" w:eastAsia="仿宋GB231" w:cs="仿宋GB231"/>
          <w:color w:val="auto"/>
          <w:kern w:val="2"/>
          <w:sz w:val="32"/>
          <w:szCs w:val="32"/>
          <w:lang w:val="en-US" w:eastAsia="zh-CN" w:bidi="ar-SA"/>
        </w:rPr>
        <w:t>资金拨付进度</w:t>
      </w:r>
      <w:r>
        <w:rPr>
          <w:rFonts w:hint="eastAsia" w:ascii="仿宋GB231" w:hAnsi="仿宋GB231" w:eastAsia="仿宋GB231" w:cs="仿宋GB231"/>
          <w:color w:val="auto"/>
          <w:kern w:val="2"/>
          <w:sz w:val="32"/>
          <w:szCs w:val="32"/>
          <w:lang w:val="en-US" w:eastAsia="zh-CN" w:bidi="ar-SA"/>
        </w:rPr>
        <w:t>：资金按期拨付。（得分：5分）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default" w:ascii="仿宋GB231" w:hAnsi="仿宋GB231" w:eastAsia="仿宋GB231" w:cs="仿宋GB231"/>
          <w:color w:val="auto"/>
          <w:kern w:val="2"/>
          <w:sz w:val="32"/>
          <w:szCs w:val="32"/>
          <w:lang w:val="en-US" w:eastAsia="zh-CN" w:bidi="ar-SA"/>
        </w:rPr>
        <w:t>项目效果</w:t>
      </w:r>
      <w:r>
        <w:rPr>
          <w:rFonts w:hint="eastAsia" w:ascii="仿宋GB231" w:hAnsi="仿宋GB231" w:eastAsia="仿宋GB231" w:cs="仿宋GB231"/>
          <w:color w:val="auto"/>
          <w:kern w:val="2"/>
          <w:sz w:val="32"/>
          <w:szCs w:val="32"/>
          <w:lang w:val="en-US" w:eastAsia="zh-CN" w:bidi="ar-SA"/>
        </w:rPr>
        <w:t>：项目实施后达到预期效果。（得分：6分）</w:t>
      </w:r>
    </w:p>
    <w:p>
      <w:pPr>
        <w:pStyle w:val="2"/>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根据通用指标绩效、专用指标绩效、个性指标绩效3个方面自评分析，该项目针对</w:t>
      </w:r>
      <w:r>
        <w:rPr>
          <w:rFonts w:hint="eastAsia" w:ascii="仿宋GB231" w:hAnsi="仿宋GB231" w:eastAsia="仿宋GB231" w:cs="仿宋GB231"/>
          <w:color w:val="auto"/>
          <w:kern w:val="2"/>
          <w:sz w:val="32"/>
          <w:szCs w:val="32"/>
          <w:lang w:val="zh-CN" w:eastAsia="zh-CN" w:bidi="ar-SA"/>
        </w:rPr>
        <w:t>衔接资金项目前后期费用以及项目缺口资金支付</w:t>
      </w:r>
      <w:r>
        <w:rPr>
          <w:rFonts w:hint="eastAsia" w:ascii="仿宋GB231" w:hAnsi="仿宋GB231" w:eastAsia="仿宋GB231" w:cs="仿宋GB231"/>
          <w:color w:val="auto"/>
          <w:kern w:val="2"/>
          <w:sz w:val="32"/>
          <w:szCs w:val="32"/>
          <w:lang w:val="en-US" w:eastAsia="zh-CN" w:bidi="ar-SA"/>
        </w:rPr>
        <w:t>，涉及总金额91.8万元。经我局与各衔接资金使用单位及时对接已完成资金支付，项目达到了现预期功能，运行良好，有效满足了项目建设现实需要。</w:t>
      </w:r>
    </w:p>
    <w:p>
      <w:pPr>
        <w:pStyle w:val="2"/>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项目前期开展缓慢，导致项目推进慢，资金支付慢，部分项目利益联接机制不够健全。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bookmarkStart w:id="0" w:name="_Hlk110546638"/>
      <w:r>
        <w:rPr>
          <w:rFonts w:hint="eastAsia" w:ascii="仿宋_GB2312" w:hAnsi="仿宋_GB2312" w:cs="仿宋_GB2312"/>
          <w:b w:val="0"/>
          <w:bCs w:val="0"/>
          <w:kern w:val="0"/>
          <w:position w:val="0"/>
          <w:sz w:val="32"/>
          <w:szCs w:val="32"/>
          <w:highlight w:val="none"/>
          <w:lang w:val="en-US" w:eastAsia="zh-CN" w:bidi="ar-SA"/>
        </w:rPr>
        <w:t xml:space="preserve"> 一是县乡村振兴局、县财政局加强指导，派出专班到项目推进慢、资金拨付慢的乡镇、部门现场督导，定期研判、通报工作情况。二是合理制定机制。实行半月一调度、一月一通报、一季度一督查，通过“红黑榜”制度推动项目建设进度。</w:t>
      </w:r>
    </w:p>
    <w:bookmarkEnd w:id="0"/>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tabs>
          <w:tab w:val="left" w:pos="1911"/>
        </w:tabs>
        <w:kinsoku/>
        <w:wordWrap/>
        <w:overflowPunct/>
        <w:topLinePunct w:val="0"/>
        <w:autoSpaceDE/>
        <w:autoSpaceDN/>
        <w:bidi w:val="0"/>
        <w:spacing w:line="560" w:lineRule="exact"/>
        <w:ind w:firstLine="640" w:firstLineChars="200"/>
        <w:jc w:val="left"/>
        <w:textAlignment w:val="auto"/>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附表：1.项目资金分配涉及所有点位自评得分情况表</w:t>
      </w:r>
    </w:p>
    <w:p>
      <w:pPr>
        <w:keepNext w:val="0"/>
        <w:keepLines w:val="0"/>
        <w:pageBreakBefore w:val="0"/>
        <w:tabs>
          <w:tab w:val="left" w:pos="1911"/>
        </w:tabs>
        <w:kinsoku/>
        <w:wordWrap/>
        <w:overflowPunct/>
        <w:topLinePunct w:val="0"/>
        <w:autoSpaceDE/>
        <w:autoSpaceDN/>
        <w:bidi w:val="0"/>
        <w:spacing w:line="560" w:lineRule="exact"/>
        <w:ind w:firstLine="1600" w:firstLineChars="500"/>
        <w:jc w:val="left"/>
        <w:textAlignment w:val="auto"/>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2.专项预算项目绩效目标完成情况自评表</w:t>
      </w:r>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GB231" w:hAnsi="仿宋GB231" w:eastAsia="仿宋GB231" w:cs="仿宋GB231"/>
          <w:color w:val="auto"/>
          <w:kern w:val="2"/>
          <w:sz w:val="32"/>
          <w:szCs w:val="32"/>
          <w:lang w:val="zh-CN" w:eastAsia="zh-CN" w:bidi="ar-SA"/>
        </w:rPr>
      </w:pPr>
      <w:r>
        <w:rPr>
          <w:rFonts w:hint="eastAsia" w:ascii="仿宋GB231" w:hAnsi="仿宋GB231" w:eastAsia="仿宋GB231" w:cs="仿宋GB231"/>
          <w:color w:val="auto"/>
          <w:kern w:val="2"/>
          <w:sz w:val="32"/>
          <w:szCs w:val="32"/>
          <w:lang w:val="zh-CN" w:eastAsia="zh-CN" w:bidi="ar-SA"/>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县级配套资金</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98</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微软雅黑" w:hAnsi="微软雅黑" w:eastAsia="微软雅黑" w:cs="微软雅黑"/>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2023年</w:t>
            </w:r>
            <w:r>
              <w:rPr>
                <w:rFonts w:hint="eastAsia" w:ascii="宋体" w:hAnsi="宋体" w:eastAsia="宋体" w:cs="宋体"/>
                <w:i w:val="0"/>
                <w:color w:val="000000"/>
                <w:sz w:val="24"/>
                <w:szCs w:val="24"/>
                <w:u w:val="none"/>
                <w:lang w:eastAsia="zh-CN"/>
              </w:rPr>
              <w:t>县级配套资金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黑水县乡村振兴局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firstLine="720" w:firstLineChars="30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pStyle w:val="13"/>
              <w:spacing w:line="219" w:lineRule="auto"/>
              <w:rPr>
                <w:rFonts w:hint="eastAsia" w:ascii="宋体" w:hAnsi="宋体" w:eastAsia="宋体" w:cs="宋体"/>
                <w:kern w:val="2"/>
                <w:sz w:val="33"/>
                <w:szCs w:val="33"/>
                <w:lang w:val="en-US" w:eastAsia="zh-CN" w:bidi="ar-SA"/>
              </w:rPr>
            </w:pPr>
            <w:r>
              <w:rPr>
                <w:rFonts w:hint="eastAsia"/>
                <w:spacing w:val="-1"/>
                <w:sz w:val="21"/>
                <w:szCs w:val="21"/>
                <w:lang w:val="en-US" w:eastAsia="zh-CN"/>
              </w:rPr>
              <w:t>财政部 国家乡村振兴局 国家发展改革委 国家民委 农业农村部 国家林业和草原局关于印发《中央财政衔接推进乡村振兴补助资金管理办法》的通知（财农〔2021〕19号）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《黑水县财政衔接推进乡村振兴补助资金管理办法》黑财〔2021〕137号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用于衔接资金项目前后期费用及缺口资金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符合资金管理办法及中央发布申报通知规定范围的项目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zh-CN" w:eastAsia="zh-CN"/>
              </w:rPr>
              <w:t>91.80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zh-CN" w:eastAsia="zh-CN"/>
              </w:rPr>
              <w:t>91.80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解决前后期费用项目缺口资金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完成拨付资金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资金支付有效率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资金支付及时率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带动项目建设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确保项目完工率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项目建设有效期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7"/>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GB231">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7100C"/>
    <w:multiLevelType w:val="singleLevel"/>
    <w:tmpl w:val="29271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YmNmOWJjMDkzNzBjYWViNmVjZTQ3ODcwZTY4NzMifQ=="/>
  </w:docVars>
  <w:rsids>
    <w:rsidRoot w:val="771D4D51"/>
    <w:rsid w:val="002235CA"/>
    <w:rsid w:val="029C7664"/>
    <w:rsid w:val="02F67ADD"/>
    <w:rsid w:val="07322345"/>
    <w:rsid w:val="077706A0"/>
    <w:rsid w:val="09F064E7"/>
    <w:rsid w:val="0AA15401"/>
    <w:rsid w:val="10190546"/>
    <w:rsid w:val="10914A83"/>
    <w:rsid w:val="119B7B0C"/>
    <w:rsid w:val="14FC21E4"/>
    <w:rsid w:val="15437E13"/>
    <w:rsid w:val="1A0860A5"/>
    <w:rsid w:val="1A413008"/>
    <w:rsid w:val="1A4E0AAF"/>
    <w:rsid w:val="1C25106F"/>
    <w:rsid w:val="1CBE4E43"/>
    <w:rsid w:val="1CDA6284"/>
    <w:rsid w:val="1CFD8DF6"/>
    <w:rsid w:val="1D316553"/>
    <w:rsid w:val="1D526E45"/>
    <w:rsid w:val="1FBC61AF"/>
    <w:rsid w:val="1FFF9AD9"/>
    <w:rsid w:val="20C23E59"/>
    <w:rsid w:val="22AD555F"/>
    <w:rsid w:val="239D6A85"/>
    <w:rsid w:val="269D57A4"/>
    <w:rsid w:val="26CF2DB3"/>
    <w:rsid w:val="2A682283"/>
    <w:rsid w:val="2AF86ED7"/>
    <w:rsid w:val="2AFDF212"/>
    <w:rsid w:val="2B385C88"/>
    <w:rsid w:val="2B6BF484"/>
    <w:rsid w:val="2E7A5112"/>
    <w:rsid w:val="2EA414CB"/>
    <w:rsid w:val="2FFF7DE7"/>
    <w:rsid w:val="30694E59"/>
    <w:rsid w:val="30777013"/>
    <w:rsid w:val="30FA1876"/>
    <w:rsid w:val="334E0EE6"/>
    <w:rsid w:val="33E16D1D"/>
    <w:rsid w:val="33F748AD"/>
    <w:rsid w:val="34677303"/>
    <w:rsid w:val="355F614C"/>
    <w:rsid w:val="3566572C"/>
    <w:rsid w:val="35874596"/>
    <w:rsid w:val="35F2A362"/>
    <w:rsid w:val="36EA2AC9"/>
    <w:rsid w:val="371A51D2"/>
    <w:rsid w:val="373BBD0C"/>
    <w:rsid w:val="39BFEDBA"/>
    <w:rsid w:val="39D82562"/>
    <w:rsid w:val="39DBABD8"/>
    <w:rsid w:val="3A0D7142"/>
    <w:rsid w:val="3AB6680E"/>
    <w:rsid w:val="3ACA22B9"/>
    <w:rsid w:val="3AED12ED"/>
    <w:rsid w:val="3AFF6A5D"/>
    <w:rsid w:val="3BDD34D2"/>
    <w:rsid w:val="3BDDFF97"/>
    <w:rsid w:val="3BF16E24"/>
    <w:rsid w:val="3BFFD43B"/>
    <w:rsid w:val="3C7BD5C9"/>
    <w:rsid w:val="3DFD29A6"/>
    <w:rsid w:val="3E4E2433"/>
    <w:rsid w:val="3FBF9251"/>
    <w:rsid w:val="3FED766E"/>
    <w:rsid w:val="3FFEEAD9"/>
    <w:rsid w:val="3FFFE931"/>
    <w:rsid w:val="401B7113"/>
    <w:rsid w:val="418309A6"/>
    <w:rsid w:val="457F07F2"/>
    <w:rsid w:val="4AD14762"/>
    <w:rsid w:val="4ADC2ED8"/>
    <w:rsid w:val="4C843BCB"/>
    <w:rsid w:val="4CC6FDBD"/>
    <w:rsid w:val="4DFE42FC"/>
    <w:rsid w:val="4E07F45D"/>
    <w:rsid w:val="4FBC446F"/>
    <w:rsid w:val="4FF59AF5"/>
    <w:rsid w:val="503D00E8"/>
    <w:rsid w:val="51BF4335"/>
    <w:rsid w:val="52AF3E17"/>
    <w:rsid w:val="537D3F15"/>
    <w:rsid w:val="55647267"/>
    <w:rsid w:val="55FE10A2"/>
    <w:rsid w:val="56EF6619"/>
    <w:rsid w:val="57AF1E73"/>
    <w:rsid w:val="5AB21C33"/>
    <w:rsid w:val="5B778EC0"/>
    <w:rsid w:val="5BFD93EC"/>
    <w:rsid w:val="5CBA8FF2"/>
    <w:rsid w:val="5D5F7E21"/>
    <w:rsid w:val="5F5B35E4"/>
    <w:rsid w:val="609FA7B0"/>
    <w:rsid w:val="61CC4742"/>
    <w:rsid w:val="61E3588B"/>
    <w:rsid w:val="62EF025F"/>
    <w:rsid w:val="637A221F"/>
    <w:rsid w:val="64AD2180"/>
    <w:rsid w:val="6672542F"/>
    <w:rsid w:val="69FCE5E7"/>
    <w:rsid w:val="6B1E7934"/>
    <w:rsid w:val="6BCDA9CC"/>
    <w:rsid w:val="6D994B8F"/>
    <w:rsid w:val="6D9F2765"/>
    <w:rsid w:val="6DB508E5"/>
    <w:rsid w:val="6DDFA6BD"/>
    <w:rsid w:val="6E767ACE"/>
    <w:rsid w:val="6E781687"/>
    <w:rsid w:val="6EEE3ED1"/>
    <w:rsid w:val="6EFFED40"/>
    <w:rsid w:val="6F1B2166"/>
    <w:rsid w:val="6F5FC1DE"/>
    <w:rsid w:val="6FB3E1FD"/>
    <w:rsid w:val="6FD768E4"/>
    <w:rsid w:val="6FF341F1"/>
    <w:rsid w:val="6FFEBD86"/>
    <w:rsid w:val="73FF1F09"/>
    <w:rsid w:val="73FF684B"/>
    <w:rsid w:val="74A708C5"/>
    <w:rsid w:val="76DFCB7D"/>
    <w:rsid w:val="771D4D51"/>
    <w:rsid w:val="7735A28E"/>
    <w:rsid w:val="77778F6D"/>
    <w:rsid w:val="77ABFD6B"/>
    <w:rsid w:val="77B7A121"/>
    <w:rsid w:val="77C748BA"/>
    <w:rsid w:val="77DD24F1"/>
    <w:rsid w:val="77F10335"/>
    <w:rsid w:val="77F7E860"/>
    <w:rsid w:val="77FB8D34"/>
    <w:rsid w:val="79651059"/>
    <w:rsid w:val="797D0128"/>
    <w:rsid w:val="79EDB415"/>
    <w:rsid w:val="7ABBCDAB"/>
    <w:rsid w:val="7AFCAD25"/>
    <w:rsid w:val="7AFEB9B4"/>
    <w:rsid w:val="7B5E0C37"/>
    <w:rsid w:val="7B63F034"/>
    <w:rsid w:val="7B735637"/>
    <w:rsid w:val="7B7DE504"/>
    <w:rsid w:val="7BFEC4F8"/>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E75664"/>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3">
    <w:name w:val="Body Text Indent"/>
    <w:basedOn w:val="1"/>
    <w:qFormat/>
    <w:uiPriority w:val="0"/>
    <w:pPr>
      <w:spacing w:after="120"/>
      <w:ind w:leftChars="200"/>
    </w:pPr>
    <w:rPr>
      <w:rFonts w:ascii="仿宋_GB2312"/>
      <w:szCs w:val="32"/>
    </w:rPr>
  </w:style>
  <w:style w:type="paragraph" w:styleId="4">
    <w:name w:val="footer"/>
    <w:basedOn w:val="1"/>
    <w:next w:val="1"/>
    <w:unhideWhenUsed/>
    <w:qFormat/>
    <w:uiPriority w:val="99"/>
    <w:pPr>
      <w:tabs>
        <w:tab w:val="center" w:pos="4153"/>
        <w:tab w:val="right" w:pos="8306"/>
      </w:tabs>
      <w:snapToGrid w:val="0"/>
      <w:jc w:val="left"/>
    </w:pPr>
    <w:rPr>
      <w:sz w:val="18"/>
      <w:szCs w:val="18"/>
      <w:lang w:val="zh-CN" w:eastAsia="zh-CN"/>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6">
    <w:name w:val="toc 1"/>
    <w:basedOn w:val="1"/>
    <w:next w:val="1"/>
    <w:qFormat/>
    <w:uiPriority w:val="0"/>
  </w:style>
  <w:style w:type="paragraph" w:styleId="7">
    <w:name w:val="Body Text First Indent 2"/>
    <w:basedOn w:val="3"/>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2">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13">
    <w:name w:val="Table Text"/>
    <w:basedOn w:val="1"/>
    <w:semiHidden/>
    <w:qFormat/>
    <w:uiPriority w:val="0"/>
    <w:rPr>
      <w:rFonts w:ascii="宋体" w:hAnsi="宋体" w:eastAsia="宋体" w:cs="宋体"/>
      <w:sz w:val="33"/>
      <w:szCs w:val="3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3091</Words>
  <Characters>3214</Characters>
  <Lines>0</Lines>
  <Paragraphs>0</Paragraphs>
  <TotalTime>10</TotalTime>
  <ScaleCrop>false</ScaleCrop>
  <LinksUpToDate>false</LinksUpToDate>
  <CharactersWithSpaces>3246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2025-02-25T10:54:50Z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41551615B0E74917B3B4B5F00198675A_13</vt:lpwstr>
  </property>
</Properties>
</file>