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val="en-US" w:eastAsia="zh-CN"/>
        </w:rPr>
      </w:pPr>
      <w:bookmarkStart w:id="0" w:name="_Toc15396616"/>
      <w:r>
        <w:rPr>
          <w:rFonts w:hint="eastAsia" w:ascii="仿宋_GB2312" w:hAnsi="黑体" w:eastAsia="仿宋_GB2312" w:cs="方正小标宋简体"/>
          <w:b/>
          <w:sz w:val="32"/>
          <w:szCs w:val="32"/>
          <w:lang w:val="en-US" w:eastAsia="zh-CN"/>
        </w:rPr>
        <w:t>黑水县消委会管理服务中心</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2022</w:t>
      </w:r>
      <w:r>
        <w:rPr>
          <w:rFonts w:hint="eastAsia" w:ascii="仿宋_GB2312" w:hAnsi="黑体" w:eastAsia="仿宋_GB2312" w:cs="方正小标宋简体"/>
          <w:b/>
          <w:sz w:val="32"/>
          <w:szCs w:val="32"/>
        </w:rPr>
        <w:t>年</w:t>
      </w:r>
      <w:bookmarkStart w:id="1" w:name="_GoBack"/>
      <w:bookmarkEnd w:id="1"/>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s="仿宋"/>
          <w:color w:val="333333"/>
          <w:sz w:val="32"/>
          <w:szCs w:val="32"/>
          <w:shd w:val="clear" w:color="auto" w:fill="FFFFFF"/>
        </w:rPr>
        <w:t>黑水县</w:t>
      </w:r>
      <w:r>
        <w:rPr>
          <w:rFonts w:hint="eastAsia" w:ascii="仿宋" w:hAnsi="仿宋" w:eastAsia="仿宋" w:cs="仿宋"/>
          <w:color w:val="333333"/>
          <w:sz w:val="32"/>
          <w:szCs w:val="32"/>
          <w:shd w:val="clear" w:color="auto" w:fill="FFFFFF"/>
          <w:lang w:val="en-US" w:eastAsia="zh-CN"/>
        </w:rPr>
        <w:t>市场监督管理局</w:t>
      </w:r>
      <w:r>
        <w:rPr>
          <w:rFonts w:hint="eastAsia" w:ascii="仿宋" w:hAnsi="仿宋" w:eastAsia="仿宋" w:cs="仿宋"/>
          <w:color w:val="333333"/>
          <w:sz w:val="32"/>
          <w:szCs w:val="32"/>
          <w:shd w:val="clear" w:color="auto" w:fill="FFFFFF"/>
        </w:rPr>
        <w:t>属于一级预算单位。其中：行政单位1个，</w:t>
      </w:r>
      <w:r>
        <w:rPr>
          <w:rFonts w:hint="eastAsia" w:ascii="仿宋" w:hAnsi="仿宋" w:eastAsia="仿宋" w:cs="仿宋"/>
          <w:color w:val="333333"/>
          <w:sz w:val="32"/>
          <w:szCs w:val="32"/>
          <w:shd w:val="clear" w:color="auto" w:fill="FFFFFF"/>
          <w:lang w:val="en-US" w:eastAsia="zh-CN"/>
        </w:rPr>
        <w:t>消委会管理中心</w:t>
      </w:r>
      <w:r>
        <w:rPr>
          <w:rFonts w:hint="eastAsia" w:ascii="仿宋" w:hAnsi="仿宋" w:eastAsia="仿宋" w:cs="仿宋"/>
          <w:color w:val="333333"/>
          <w:sz w:val="32"/>
          <w:szCs w:val="32"/>
          <w:shd w:val="clear" w:color="auto" w:fill="FFFFFF"/>
        </w:rPr>
        <w:t>1个。</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主要职能是：负责全县市场综合监督管理、市场主体统一登记注册，组织全县市场监督管理综合执法，反垄断、管理市场秩序、质量、安全、食品、特种设备、药品、知识产权等工作。紧紧围绕县委、县政府中心工作，充分发挥市场监管职能，保障消费者合法权益, 全力助推我县经济发展。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本单位本年度年末实有人数为3人，与上年持平。</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Style w:val="5"/>
        <w:shd w:val="clear" w:color="auto" w:fill="FFFFFF"/>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本单位本年度总收入为50.16万元。其中：一般公共预算财政拨款收入为50.16万元，占比100%；政府性基金预算财政拨款收入为0万元，占比0%。</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5"/>
        <w:shd w:val="clear" w:color="auto" w:fill="FFFFFF"/>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本年支出总额50.16万元。按支出性质：基本支出50.16万元，占本年支出100%；项目支出0万元，占本年支出0%。按支出经济分类：工资福利支出48.94万元，占总支出的</w:t>
      </w:r>
      <w:r>
        <w:rPr>
          <w:rFonts w:hint="eastAsia" w:ascii="仿宋_GB2312" w:hAnsi="黑体" w:eastAsia="仿宋_GB2312" w:cs="黑体"/>
          <w:color w:val="000000" w:themeColor="text1"/>
          <w:kern w:val="2"/>
          <w:sz w:val="32"/>
          <w:szCs w:val="32"/>
          <w:lang w:val="en-US" w:eastAsia="zh-CN" w:bidi="ar-SA"/>
        </w:rPr>
        <w:t>97.56%;商品和服务支出1.22万元, 占总支出的6.05%;对个</w:t>
      </w:r>
      <w:r>
        <w:rPr>
          <w:rFonts w:hint="eastAsia" w:ascii="仿宋_GB2312" w:hAnsi="黑体" w:eastAsia="仿宋_GB2312" w:cs="黑体"/>
          <w:kern w:val="2"/>
          <w:sz w:val="32"/>
          <w:szCs w:val="32"/>
          <w:lang w:val="en-US" w:eastAsia="zh-CN" w:bidi="ar-SA"/>
        </w:rPr>
        <w:t>人和家庭的补助支出0万元, 占总支出的0%;资本性支出0万元, 占总支出的0%。</w:t>
      </w:r>
    </w:p>
    <w:p>
      <w:pPr>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（1）、基本支出</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本年度基本支出50.16万元。其中：工资福利支出48.94万元，占总支出的</w:t>
      </w:r>
      <w:r>
        <w:rPr>
          <w:rFonts w:hint="eastAsia" w:ascii="仿宋_GB2312" w:hAnsi="黑体" w:eastAsia="仿宋_GB2312" w:cs="黑体"/>
          <w:color w:val="000000" w:themeColor="text1"/>
          <w:kern w:val="2"/>
          <w:sz w:val="32"/>
          <w:szCs w:val="32"/>
          <w:lang w:val="en-US" w:eastAsia="zh-CN" w:bidi="ar-SA"/>
        </w:rPr>
        <w:t>97.56%;商品和服务支出1.22万元, 占总支出的6.05%;对个人和</w:t>
      </w:r>
      <w:r>
        <w:rPr>
          <w:rFonts w:hint="eastAsia" w:ascii="仿宋_GB2312" w:hAnsi="黑体" w:eastAsia="仿宋_GB2312" w:cs="黑体"/>
          <w:kern w:val="2"/>
          <w:sz w:val="32"/>
          <w:szCs w:val="32"/>
          <w:lang w:val="en-US" w:eastAsia="zh-CN" w:bidi="ar-SA"/>
        </w:rPr>
        <w:t>家庭的补助支出0万元, 占总支出的0%。</w:t>
      </w:r>
    </w:p>
    <w:p>
      <w:pPr>
        <w:snapToGrid w:val="0"/>
        <w:spacing w:line="52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（2）、项目支出</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项目支出0万元，其中：商品和服务支出0万元, 占总支出的0%；资本性支出0万元, 占总支出的0%。</w:t>
      </w:r>
    </w:p>
    <w:p>
      <w:pPr>
        <w:numPr>
          <w:ilvl w:val="0"/>
          <w:numId w:val="2"/>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60" w:lineRule="exact"/>
        <w:ind w:firstLine="800" w:firstLineChars="25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本单位本年度收入调整预算数为50.16万元，收入决算数为50.16万元，预算完成度为100.00%，上年度预算完成度为100.00%。 本年度支出调整预算数为50.16万元，支出决算数为50.16万元，预算完成度为100.00%，上年度预算完成度为100%。按时完成预算编制并提交单位预算草案，在预算编制中，特别注意了对预算编制准确性的把握，并严格按照要求进行预算执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 w:hAnsi="仿宋" w:eastAsia="仿宋" w:cs="Times New Roman"/>
          <w:kern w:val="0"/>
          <w:sz w:val="32"/>
          <w:szCs w:val="24"/>
          <w:lang w:val="en-US" w:eastAsia="zh-CN" w:bidi="ar"/>
        </w:rPr>
      </w:pPr>
      <w:r>
        <w:rPr>
          <w:rFonts w:hint="eastAsia" w:ascii="仿宋" w:hAnsi="仿宋" w:eastAsia="仿宋" w:cs="Times New Roman"/>
          <w:kern w:val="0"/>
          <w:sz w:val="32"/>
          <w:szCs w:val="24"/>
          <w:lang w:val="en-US" w:eastAsia="zh-CN" w:bidi="ar"/>
        </w:rPr>
        <w:t>本单位专项预算主要用于食品安全应急演练，药品监管、食品抽检等，预算项目程序严密、规划合理，分配科学，分配及时，结果符合工作要求。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5"/>
        <w:shd w:val="clear" w:color="auto" w:fill="FFFFFF"/>
        <w:spacing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本单位在执行公务过程中严格执行“厉行节约、反对浪费”的规定，严格控制“三公”经费支出，加强公务用车管理，部门预算在财政部门批复后及时填报预算公开资料，经财政审核后在政府信息公开网上公示。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5"/>
        <w:spacing w:beforeAutospacing="0" w:afterAutospacing="0"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2022年整体绩效评价得分92分，本年度财政拨款为本单位工作的开展提供了有力的保障，保障了拟定并组织实施市场监督管理事业发展规划和技术机构建设规划。组织推进质量发展工作；组织实施商标品牌战略；参与制定商品交易市场发展规划。负责涉及工商、质量技术、食品药品监督管理的各类汇总审批和汇总许可并实施监督管理。负责查处违反工商、质量技术、食品药品监督管理的各类法律、法规、规章的行为。</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5"/>
        <w:spacing w:beforeAutospacing="0" w:afterAutospacing="0" w:line="560" w:lineRule="exact"/>
        <w:ind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单位内部各部门沟通方式有待协调改进。</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2"/>
        <w:numPr>
          <w:ilvl w:val="0"/>
          <w:numId w:val="0"/>
        </w:numPr>
        <w:ind w:leftChars="200" w:firstLine="640" w:firstLineChars="200"/>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1960B"/>
    <w:multiLevelType w:val="singleLevel"/>
    <w:tmpl w:val="BA21960B"/>
    <w:lvl w:ilvl="0" w:tentative="0">
      <w:start w:val="3"/>
      <w:numFmt w:val="chineseCounting"/>
      <w:suff w:val="nothing"/>
      <w:lvlText w:val="%1、"/>
      <w:lvlJc w:val="left"/>
      <w:rPr>
        <w:rFonts w:hint="eastAsia"/>
      </w:rPr>
    </w:lvl>
  </w:abstractNum>
  <w:abstractNum w:abstractNumId="1">
    <w:nsid w:val="CF392F43"/>
    <w:multiLevelType w:val="singleLevel"/>
    <w:tmpl w:val="CF392F43"/>
    <w:lvl w:ilvl="0" w:tentative="0">
      <w:start w:val="2"/>
      <w:numFmt w:val="chineseCounting"/>
      <w:suff w:val="nothing"/>
      <w:lvlText w:val="（%1）"/>
      <w:lvlJc w:val="left"/>
      <w:rPr>
        <w:rFonts w:hint="eastAsia"/>
      </w:rPr>
    </w:lvl>
  </w:abstractNum>
  <w:abstractNum w:abstractNumId="2">
    <w:nsid w:val="18E7CCDB"/>
    <w:multiLevelType w:val="singleLevel"/>
    <w:tmpl w:val="18E7CCD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91B22"/>
    <w:rsid w:val="00291808"/>
    <w:rsid w:val="00491B22"/>
    <w:rsid w:val="0052390C"/>
    <w:rsid w:val="01E42332"/>
    <w:rsid w:val="02830E2A"/>
    <w:rsid w:val="033F3BAA"/>
    <w:rsid w:val="05784F93"/>
    <w:rsid w:val="05895F58"/>
    <w:rsid w:val="08785A24"/>
    <w:rsid w:val="08F737B7"/>
    <w:rsid w:val="0C513C7B"/>
    <w:rsid w:val="0CEF20BC"/>
    <w:rsid w:val="11A01AF6"/>
    <w:rsid w:val="131A0646"/>
    <w:rsid w:val="1B72670C"/>
    <w:rsid w:val="1C101DF4"/>
    <w:rsid w:val="1DD40030"/>
    <w:rsid w:val="1F7F341E"/>
    <w:rsid w:val="26385F7C"/>
    <w:rsid w:val="33A87955"/>
    <w:rsid w:val="34EB1F43"/>
    <w:rsid w:val="35BF1855"/>
    <w:rsid w:val="36435EC2"/>
    <w:rsid w:val="3A732315"/>
    <w:rsid w:val="3AD71794"/>
    <w:rsid w:val="4008583C"/>
    <w:rsid w:val="42316CB8"/>
    <w:rsid w:val="454B3B24"/>
    <w:rsid w:val="45C67231"/>
    <w:rsid w:val="4A5A1394"/>
    <w:rsid w:val="4B936091"/>
    <w:rsid w:val="4FB1260F"/>
    <w:rsid w:val="511932DE"/>
    <w:rsid w:val="57077F96"/>
    <w:rsid w:val="58717DD8"/>
    <w:rsid w:val="59F172A1"/>
    <w:rsid w:val="59FC3FD7"/>
    <w:rsid w:val="5D775A44"/>
    <w:rsid w:val="5F7B602B"/>
    <w:rsid w:val="60D032A5"/>
    <w:rsid w:val="62FC1DCB"/>
    <w:rsid w:val="64514625"/>
    <w:rsid w:val="64C271F1"/>
    <w:rsid w:val="6508698B"/>
    <w:rsid w:val="65861273"/>
    <w:rsid w:val="685963A8"/>
    <w:rsid w:val="69F732DA"/>
    <w:rsid w:val="6B7E625D"/>
    <w:rsid w:val="6E4A4E37"/>
    <w:rsid w:val="6E8C308A"/>
    <w:rsid w:val="72B2261A"/>
    <w:rsid w:val="72CD2138"/>
    <w:rsid w:val="776F59C7"/>
    <w:rsid w:val="783318C7"/>
    <w:rsid w:val="78C10469"/>
    <w:rsid w:val="78E30C4C"/>
    <w:rsid w:val="7B06676A"/>
    <w:rsid w:val="7B742524"/>
    <w:rsid w:val="7B9C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200" w:leftChars="200" w:hanging="200" w:hangingChars="200"/>
    </w:pPr>
    <w:rPr>
      <w:kern w:val="0"/>
      <w:sz w:val="20"/>
      <w:szCs w:val="21"/>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2023-09-06T08:08:47Z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8E57653480B84FBBA40169570E0E5E89_12</vt:lpwstr>
  </property>
</Properties>
</file>