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市场监督管理局部门</w:t>
      </w:r>
      <w:bookmarkStart w:id="0" w:name="_GoBack"/>
      <w:bookmarkEnd w:id="0"/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与上年度持平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0.64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0.16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%。主要原因是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压缩三公经费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0.64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9.03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6.02</w:t>
      </w:r>
      <w:r>
        <w:rPr>
          <w:rFonts w:hint="eastAsia" w:ascii="仿宋_GB2312" w:eastAsia="仿宋_GB2312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color w:val="000000"/>
          <w:sz w:val="32"/>
          <w:szCs w:val="32"/>
        </w:rPr>
        <w:t>%。主要原因是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出差、下乡次数减少，车辆维修次数减少。</w:t>
      </w:r>
    </w:p>
    <w:p>
      <w:pPr>
        <w:widowControl/>
        <w:numPr>
          <w:ilvl w:val="0"/>
          <w:numId w:val="0"/>
        </w:numPr>
        <w:spacing w:line="480" w:lineRule="atLeast"/>
        <w:ind w:left="700" w:left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特种技术车1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其他车6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9.03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万元。主要用于公务用车燃油、维修、保险等方面支出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保障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市场监管的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各项工作顺利开展。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黑水县市场监督管理局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7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9.03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17B56"/>
    <w:multiLevelType w:val="singleLevel"/>
    <w:tmpl w:val="BD717B56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61964F5"/>
    <w:rsid w:val="07A1480C"/>
    <w:rsid w:val="0F3429A8"/>
    <w:rsid w:val="16F61978"/>
    <w:rsid w:val="198E09B7"/>
    <w:rsid w:val="1D0B2F60"/>
    <w:rsid w:val="2040574A"/>
    <w:rsid w:val="2B843988"/>
    <w:rsid w:val="37182DA3"/>
    <w:rsid w:val="38C4583A"/>
    <w:rsid w:val="420371D0"/>
    <w:rsid w:val="44B2323A"/>
    <w:rsid w:val="4DCE54F1"/>
    <w:rsid w:val="5BCF5D5B"/>
    <w:rsid w:val="5DAD5538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  <w:rPr>
      <w:kern w:val="0"/>
      <w:sz w:val="20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3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康康</cp:lastModifiedBy>
  <dcterms:modified xsi:type="dcterms:W3CDTF">2023-08-31T00:43:15Z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