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药品监管补助</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24" w:firstLineChars="200"/>
        <w:rPr>
          <w:spacing w:val="-4"/>
          <w:sz w:val="32"/>
          <w:szCs w:val="32"/>
        </w:rPr>
      </w:pPr>
      <w:r>
        <w:rPr>
          <w:rFonts w:hint="eastAsia" w:ascii="Times New Roman" w:hAnsi="Times New Roman" w:eastAsia="仿宋_GB2312" w:cs="Times New Roman"/>
          <w:spacing w:val="-4"/>
          <w:kern w:val="2"/>
          <w:sz w:val="32"/>
          <w:szCs w:val="32"/>
        </w:rPr>
        <w:t>根据省财政厅《关于提前下达2022年中央药品监管补助资金预算通知》，下达2022年中央药品监管补助资金</w:t>
      </w:r>
      <w:r>
        <w:rPr>
          <w:rFonts w:hint="eastAsia" w:ascii="Times New Roman" w:hAnsi="Times New Roman" w:eastAsia="仿宋_GB2312" w:cs="Times New Roman"/>
          <w:spacing w:val="-4"/>
          <w:kern w:val="2"/>
          <w:sz w:val="32"/>
          <w:szCs w:val="32"/>
          <w:lang w:val="en-US" w:eastAsia="zh-CN"/>
        </w:rPr>
        <w:t>7.7万元，主要</w:t>
      </w:r>
      <w:r>
        <w:rPr>
          <w:rFonts w:hint="eastAsia" w:ascii="Times New Roman" w:hAnsi="Times New Roman" w:eastAsia="仿宋_GB2312"/>
          <w:spacing w:val="-4"/>
          <w:kern w:val="2"/>
          <w:sz w:val="32"/>
          <w:szCs w:val="32"/>
        </w:rPr>
        <w:t>用于药品抽检、药品不良反应监测、药品综合监管及专项整治等。</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tabs>
          <w:tab w:val="left" w:pos="6425"/>
        </w:tabs>
        <w:ind w:firstLine="640" w:firstLineChars="200"/>
        <w:outlineLvl w:val="0"/>
        <w:rPr>
          <w:rFonts w:hint="eastAsia"/>
        </w:rPr>
      </w:pPr>
      <w:r>
        <w:rPr>
          <w:rFonts w:hint="eastAsia" w:ascii="仿宋" w:hAnsi="仿宋" w:eastAsia="仿宋" w:cs="仿宋"/>
          <w:sz w:val="32"/>
          <w:szCs w:val="32"/>
          <w:lang w:val="en-US" w:eastAsia="zh-CN"/>
        </w:rPr>
        <w:t>药品监管项目自评得分92分，</w:t>
      </w:r>
      <w:r>
        <w:rPr>
          <w:rFonts w:hint="eastAsia" w:ascii="仿宋_GB2312" w:hAnsi="仿宋" w:eastAsia="仿宋_GB2312" w:cs="仿宋_GB2312"/>
          <w:kern w:val="2"/>
          <w:sz w:val="32"/>
          <w:szCs w:val="32"/>
          <w:lang w:val="en-US" w:eastAsia="zh-CN" w:bidi="ar-SA"/>
        </w:rPr>
        <w:t>我局积累了丰富的项目实施经验，并建立了完善的管理制度，严格按规定组织人力物力实施项目，从各方面有效保证了2022年市场监督管理中央药品监管补助资金项目的进度、质量，取得良好的经济和社会效益。</w:t>
      </w:r>
      <w:bookmarkStart w:id="0" w:name="_GoBack"/>
      <w:bookmarkEnd w:id="0"/>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tabs>
          <w:tab w:val="left" w:pos="6425"/>
        </w:tabs>
        <w:ind w:firstLine="640" w:firstLineChars="200"/>
        <w:outlineLvl w:val="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局精心组织，监督检查，认真验收。项目下达时制定了实施方案，在项目实施过程中，加强对专项资金使用的管理，并按照省市场监督管理局的要求进行管理。项目金额都合理控制在预算范围内，未有超标现象，并按时完成目标；药品安全监管水平、基层监管队伍执法能力和监管能力不断提高，长期有效进行药品安全检测。</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ind w:firstLine="624" w:firstLineChars="200"/>
        <w:textAlignment w:val="baseline"/>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1</w:t>
      </w:r>
      <w:r>
        <w:rPr>
          <w:rFonts w:hint="eastAsia" w:eastAsia="仿宋_GB2312" w:cs="Times New Roman"/>
          <w:spacing w:val="-4"/>
          <w:sz w:val="32"/>
          <w:szCs w:val="32"/>
          <w:lang w:eastAsia="zh-CN"/>
        </w:rPr>
        <w:t>、</w:t>
      </w:r>
      <w:r>
        <w:rPr>
          <w:rFonts w:ascii="Times New Roman" w:hAnsi="Times New Roman" w:eastAsia="仿宋_GB2312" w:cs="Times New Roman"/>
          <w:spacing w:val="-4"/>
          <w:sz w:val="32"/>
          <w:szCs w:val="32"/>
        </w:rPr>
        <w:t>项目资金到位情况分析。</w:t>
      </w:r>
    </w:p>
    <w:p>
      <w:pPr>
        <w:ind w:firstLine="624" w:firstLineChars="200"/>
        <w:textAlignment w:val="baseline"/>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202</w:t>
      </w:r>
      <w:r>
        <w:rPr>
          <w:rFonts w:hint="eastAsia" w:ascii="Times New Roman" w:hAnsi="Times New Roman" w:eastAsia="仿宋_GB2312" w:cs="Times New Roman"/>
          <w:spacing w:val="-4"/>
          <w:sz w:val="32"/>
          <w:szCs w:val="32"/>
        </w:rPr>
        <w:t>2</w:t>
      </w:r>
      <w:r>
        <w:rPr>
          <w:rFonts w:ascii="Times New Roman" w:hAnsi="Times New Roman" w:eastAsia="仿宋_GB2312" w:cs="Times New Roman"/>
          <w:spacing w:val="-4"/>
          <w:sz w:val="32"/>
          <w:szCs w:val="32"/>
        </w:rPr>
        <w:t>年中央下达药品监管资金</w:t>
      </w:r>
      <w:r>
        <w:rPr>
          <w:rFonts w:hint="eastAsia" w:ascii="Times New Roman" w:hAnsi="Times New Roman" w:eastAsia="仿宋_GB2312" w:cs="Times New Roman"/>
          <w:spacing w:val="-4"/>
          <w:sz w:val="32"/>
          <w:szCs w:val="32"/>
        </w:rPr>
        <w:t>7.7</w:t>
      </w:r>
      <w:r>
        <w:rPr>
          <w:rFonts w:ascii="Times New Roman" w:hAnsi="Times New Roman" w:eastAsia="仿宋_GB2312" w:cs="Times New Roman"/>
          <w:spacing w:val="-4"/>
          <w:sz w:val="32"/>
          <w:szCs w:val="32"/>
        </w:rPr>
        <w:t>万元。其中:阿州财行</w:t>
      </w:r>
      <w:r>
        <w:rPr>
          <w:rFonts w:hint="eastAsia" w:ascii="Times New Roman" w:hAnsi="Times New Roman" w:eastAsia="仿宋_GB2312" w:cs="Times New Roman"/>
          <w:spacing w:val="-4"/>
          <w:sz w:val="32"/>
          <w:szCs w:val="32"/>
        </w:rPr>
        <w:t>【2022】41号7.7</w:t>
      </w:r>
      <w:r>
        <w:rPr>
          <w:rFonts w:ascii="Times New Roman" w:hAnsi="Times New Roman" w:eastAsia="仿宋_GB2312" w:cs="Times New Roman"/>
          <w:spacing w:val="-4"/>
          <w:sz w:val="32"/>
          <w:szCs w:val="32"/>
        </w:rPr>
        <w:t>万元</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202</w:t>
      </w:r>
      <w:r>
        <w:rPr>
          <w:rFonts w:hint="eastAsia" w:ascii="Times New Roman" w:hAnsi="Times New Roman" w:eastAsia="仿宋_GB2312" w:cs="Times New Roman"/>
          <w:spacing w:val="-4"/>
          <w:sz w:val="32"/>
          <w:szCs w:val="32"/>
        </w:rPr>
        <w:t>2</w:t>
      </w:r>
      <w:r>
        <w:rPr>
          <w:rFonts w:ascii="Times New Roman" w:hAnsi="Times New Roman" w:eastAsia="仿宋_GB2312" w:cs="Times New Roman"/>
          <w:spacing w:val="-4"/>
          <w:sz w:val="32"/>
          <w:szCs w:val="32"/>
        </w:rPr>
        <w:t>年</w:t>
      </w:r>
      <w:r>
        <w:rPr>
          <w:rFonts w:hint="eastAsia" w:ascii="Times New Roman" w:hAnsi="Times New Roman" w:eastAsia="仿宋_GB2312" w:cs="Times New Roman"/>
          <w:spacing w:val="-4"/>
          <w:sz w:val="32"/>
          <w:szCs w:val="32"/>
        </w:rPr>
        <w:t>资金</w:t>
      </w:r>
      <w:r>
        <w:rPr>
          <w:rFonts w:ascii="Times New Roman" w:hAnsi="Times New Roman" w:eastAsia="仿宋_GB2312" w:cs="Times New Roman"/>
          <w:spacing w:val="-4"/>
          <w:sz w:val="32"/>
          <w:szCs w:val="32"/>
        </w:rPr>
        <w:t>全部到位。</w:t>
      </w:r>
    </w:p>
    <w:p>
      <w:pPr>
        <w:numPr>
          <w:ilvl w:val="0"/>
          <w:numId w:val="1"/>
        </w:numPr>
        <w:ind w:firstLine="624" w:firstLineChars="200"/>
        <w:textAlignment w:val="baseline"/>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项目资金执行情况分析。</w:t>
      </w:r>
    </w:p>
    <w:p>
      <w:pPr>
        <w:numPr>
          <w:numId w:val="0"/>
        </w:numPr>
        <w:ind w:firstLine="624" w:firstLineChars="200"/>
        <w:textAlignment w:val="baseline"/>
        <w:rPr>
          <w:rFonts w:hint="eastAsia" w:ascii="Times New Roman" w:hAnsi="Times New Roman" w:eastAsia="仿宋_GB2312" w:cs="Times New Roman"/>
          <w:spacing w:val="-4"/>
          <w:kern w:val="2"/>
          <w:sz w:val="32"/>
          <w:szCs w:val="32"/>
          <w:lang w:val="en-US" w:eastAsia="zh-CN" w:bidi="ar-SA"/>
        </w:rPr>
      </w:pPr>
      <w:r>
        <w:rPr>
          <w:rFonts w:ascii="Times New Roman" w:hAnsi="Times New Roman" w:eastAsia="仿宋_GB2312" w:cs="Times New Roman"/>
          <w:spacing w:val="-4"/>
          <w:kern w:val="2"/>
          <w:sz w:val="32"/>
          <w:szCs w:val="32"/>
          <w:lang w:val="en-US" w:eastAsia="zh-CN" w:bidi="ar-SA"/>
        </w:rPr>
        <w:t>202</w:t>
      </w:r>
      <w:r>
        <w:rPr>
          <w:rFonts w:hint="eastAsia" w:ascii="Times New Roman" w:hAnsi="Times New Roman" w:eastAsia="仿宋_GB2312" w:cs="Times New Roman"/>
          <w:spacing w:val="-4"/>
          <w:kern w:val="2"/>
          <w:sz w:val="32"/>
          <w:szCs w:val="32"/>
          <w:lang w:val="en-US" w:eastAsia="zh-CN" w:bidi="ar-SA"/>
        </w:rPr>
        <w:t>2</w:t>
      </w:r>
      <w:r>
        <w:rPr>
          <w:rFonts w:ascii="Times New Roman" w:hAnsi="Times New Roman" w:eastAsia="仿宋_GB2312" w:cs="Times New Roman"/>
          <w:spacing w:val="-4"/>
          <w:kern w:val="2"/>
          <w:sz w:val="32"/>
          <w:szCs w:val="32"/>
          <w:lang w:val="en-US" w:eastAsia="zh-CN" w:bidi="ar-SA"/>
        </w:rPr>
        <w:t>年</w:t>
      </w:r>
      <w:r>
        <w:rPr>
          <w:rFonts w:hint="eastAsia" w:ascii="Times New Roman" w:hAnsi="Times New Roman" w:eastAsia="仿宋_GB2312" w:cs="Times New Roman"/>
          <w:spacing w:val="-4"/>
          <w:kern w:val="2"/>
          <w:sz w:val="32"/>
          <w:szCs w:val="32"/>
          <w:lang w:val="en-US" w:eastAsia="zh-CN" w:bidi="ar-SA"/>
        </w:rPr>
        <w:t>中央</w:t>
      </w:r>
      <w:r>
        <w:rPr>
          <w:rFonts w:ascii="Times New Roman" w:hAnsi="Times New Roman" w:eastAsia="仿宋_GB2312" w:cs="Times New Roman"/>
          <w:spacing w:val="-4"/>
          <w:kern w:val="2"/>
          <w:sz w:val="32"/>
          <w:szCs w:val="32"/>
          <w:lang w:val="en-US" w:eastAsia="zh-CN" w:bidi="ar-SA"/>
        </w:rPr>
        <w:t>药品</w:t>
      </w:r>
      <w:r>
        <w:rPr>
          <w:rFonts w:hint="eastAsia" w:ascii="Times New Roman" w:hAnsi="Times New Roman" w:eastAsia="仿宋_GB2312" w:cs="Times New Roman"/>
          <w:spacing w:val="-4"/>
          <w:kern w:val="2"/>
          <w:sz w:val="32"/>
          <w:szCs w:val="32"/>
          <w:lang w:val="en-US" w:eastAsia="zh-CN" w:bidi="ar-SA"/>
        </w:rPr>
        <w:t>监管资金支出2.084万元，</w:t>
      </w:r>
      <w:r>
        <w:rPr>
          <w:rFonts w:ascii="Times New Roman" w:hAnsi="Times New Roman" w:eastAsia="仿宋_GB2312" w:cs="Times New Roman"/>
          <w:spacing w:val="-4"/>
          <w:kern w:val="2"/>
          <w:sz w:val="32"/>
          <w:szCs w:val="32"/>
          <w:lang w:val="en-US" w:eastAsia="zh-CN" w:bidi="ar-SA"/>
        </w:rPr>
        <w:t>其中:阿州财行</w:t>
      </w:r>
      <w:r>
        <w:rPr>
          <w:rFonts w:hint="eastAsia" w:ascii="Times New Roman" w:hAnsi="Times New Roman" w:eastAsia="仿宋_GB2312" w:cs="Times New Roman"/>
          <w:spacing w:val="-4"/>
          <w:kern w:val="2"/>
          <w:sz w:val="32"/>
          <w:szCs w:val="32"/>
          <w:lang w:val="en-US" w:eastAsia="zh-CN" w:bidi="ar-SA"/>
        </w:rPr>
        <w:t>【2022】41号5.3</w:t>
      </w:r>
      <w:r>
        <w:rPr>
          <w:rFonts w:ascii="Times New Roman" w:hAnsi="Times New Roman" w:eastAsia="仿宋_GB2312" w:cs="Times New Roman"/>
          <w:spacing w:val="-4"/>
          <w:kern w:val="2"/>
          <w:sz w:val="32"/>
          <w:szCs w:val="32"/>
          <w:lang w:val="en-US" w:eastAsia="zh-CN" w:bidi="ar-SA"/>
        </w:rPr>
        <w:t>万元</w:t>
      </w:r>
      <w:r>
        <w:rPr>
          <w:rFonts w:hint="eastAsia" w:ascii="Times New Roman" w:hAnsi="Times New Roman" w:eastAsia="仿宋_GB2312" w:cs="Times New Roman"/>
          <w:spacing w:val="-4"/>
          <w:kern w:val="2"/>
          <w:sz w:val="32"/>
          <w:szCs w:val="32"/>
          <w:lang w:val="en-US" w:eastAsia="zh-CN" w:bidi="ar-SA"/>
        </w:rPr>
        <w:t>，资金结余5.616万元。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ascii="Times New Roman" w:hAnsi="Times New Roman" w:eastAsia="仿宋_GB2312" w:cs="Times New Roman"/>
          <w:spacing w:val="-4"/>
          <w:kern w:val="2"/>
          <w:sz w:val="32"/>
          <w:szCs w:val="32"/>
          <w:lang w:val="en-US" w:eastAsia="zh-CN" w:bidi="ar-SA"/>
        </w:rPr>
        <w:t>1</w:t>
      </w:r>
      <w:r>
        <w:rPr>
          <w:rFonts w:hint="eastAsia" w:ascii="Times New Roman" w:hAnsi="Times New Roman" w:eastAsia="仿宋_GB2312" w:cs="Times New Roman"/>
          <w:spacing w:val="-4"/>
          <w:kern w:val="2"/>
          <w:sz w:val="32"/>
          <w:szCs w:val="32"/>
          <w:lang w:val="en-US" w:eastAsia="zh-CN" w:bidi="ar-SA"/>
        </w:rPr>
        <w:t>1、</w:t>
      </w:r>
      <w:r>
        <w:rPr>
          <w:rFonts w:ascii="Times New Roman" w:hAnsi="Times New Roman" w:eastAsia="仿宋_GB2312" w:cs="Times New Roman"/>
          <w:spacing w:val="-4"/>
          <w:kern w:val="2"/>
          <w:sz w:val="32"/>
          <w:szCs w:val="32"/>
          <w:lang w:val="en-US" w:eastAsia="zh-CN" w:bidi="ar-SA"/>
        </w:rPr>
        <w:t>产出指标完成情况分析。</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ascii="Times New Roman" w:hAnsi="Times New Roman" w:eastAsia="仿宋_GB2312" w:cs="Times New Roman"/>
          <w:spacing w:val="-4"/>
          <w:kern w:val="2"/>
          <w:sz w:val="32"/>
          <w:szCs w:val="32"/>
          <w:lang w:val="en-US" w:eastAsia="zh-CN" w:bidi="ar-SA"/>
        </w:rPr>
        <w:t>(1)数量指标。</w:t>
      </w:r>
    </w:p>
    <w:p>
      <w:pPr>
        <w:numPr>
          <w:ilvl w:val="0"/>
          <w:numId w:val="0"/>
        </w:numPr>
        <w:ind w:firstLine="624" w:firstLineChars="200"/>
        <w:textAlignment w:val="baseline"/>
        <w:rPr>
          <w:rFonts w:hint="eastAsia"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1、药品不良反应37例、医疗器械不良反应18例、化妆品不良反应4例。</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2、制作药品化妆品宣传用品2100份，制作宣传资料3份。</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（2）</w:t>
      </w:r>
      <w:r>
        <w:rPr>
          <w:rFonts w:ascii="Times New Roman" w:hAnsi="Times New Roman" w:eastAsia="仿宋_GB2312" w:cs="Times New Roman"/>
          <w:spacing w:val="-4"/>
          <w:kern w:val="2"/>
          <w:sz w:val="32"/>
          <w:szCs w:val="32"/>
          <w:lang w:val="en-US" w:eastAsia="zh-CN" w:bidi="ar-SA"/>
        </w:rPr>
        <w:t>质量指标。</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药品抽样完成率、不合格产品处置率、药品不良反应病例报告优秀率和化妆品不良反应病例报告优秀率均达到年初预期指标值。</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（3）</w:t>
      </w:r>
      <w:r>
        <w:rPr>
          <w:rFonts w:ascii="Times New Roman" w:hAnsi="Times New Roman" w:eastAsia="仿宋_GB2312" w:cs="Times New Roman"/>
          <w:spacing w:val="-4"/>
          <w:kern w:val="2"/>
          <w:sz w:val="32"/>
          <w:szCs w:val="32"/>
          <w:lang w:val="en-US" w:eastAsia="zh-CN" w:bidi="ar-SA"/>
        </w:rPr>
        <w:t>时效指标。</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药械监管任务完成时间是2022年12月31日前，落实总局抽检任务要求的时间和频次，均达到年初预期指标值。</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（4）</w:t>
      </w:r>
      <w:r>
        <w:rPr>
          <w:rFonts w:ascii="Times New Roman" w:hAnsi="Times New Roman" w:eastAsia="仿宋_GB2312" w:cs="Times New Roman"/>
          <w:spacing w:val="-4"/>
          <w:kern w:val="2"/>
          <w:sz w:val="32"/>
          <w:szCs w:val="32"/>
          <w:lang w:val="en-US" w:eastAsia="zh-CN" w:bidi="ar-SA"/>
        </w:rPr>
        <w:t>成本指标。</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 xml:space="preserve"> 药品、化妆品监督检查成本均不超过下达指标数，厉行节约，反对浪费。</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2、</w:t>
      </w:r>
      <w:r>
        <w:rPr>
          <w:rFonts w:ascii="Times New Roman" w:hAnsi="Times New Roman" w:eastAsia="仿宋_GB2312" w:cs="Times New Roman"/>
          <w:spacing w:val="-4"/>
          <w:kern w:val="2"/>
          <w:sz w:val="32"/>
          <w:szCs w:val="32"/>
          <w:lang w:val="en-US" w:eastAsia="zh-CN" w:bidi="ar-SA"/>
        </w:rPr>
        <w:t>效益指标完成情况分析</w:t>
      </w:r>
    </w:p>
    <w:p>
      <w:pPr>
        <w:numPr>
          <w:ilvl w:val="0"/>
          <w:numId w:val="0"/>
        </w:numPr>
        <w:ind w:firstLine="624" w:firstLineChars="200"/>
        <w:textAlignment w:val="baseline"/>
        <w:rPr>
          <w:rFonts w:hint="eastAsia"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（1）经济</w:t>
      </w:r>
      <w:r>
        <w:rPr>
          <w:rFonts w:ascii="Times New Roman" w:hAnsi="Times New Roman" w:eastAsia="仿宋_GB2312" w:cs="Times New Roman"/>
          <w:spacing w:val="-4"/>
          <w:kern w:val="2"/>
          <w:sz w:val="32"/>
          <w:szCs w:val="32"/>
          <w:lang w:val="en-US" w:eastAsia="zh-CN" w:bidi="ar-SA"/>
        </w:rPr>
        <w:t>效益。</w:t>
      </w:r>
      <w:r>
        <w:rPr>
          <w:rFonts w:hint="eastAsia" w:ascii="Times New Roman" w:hAnsi="Times New Roman" w:eastAsia="仿宋_GB2312" w:cs="Times New Roman"/>
          <w:spacing w:val="-4"/>
          <w:kern w:val="2"/>
          <w:sz w:val="32"/>
          <w:szCs w:val="32"/>
          <w:lang w:val="en-US" w:eastAsia="zh-CN" w:bidi="ar-SA"/>
        </w:rPr>
        <w:t xml:space="preserve"> </w:t>
      </w:r>
    </w:p>
    <w:p>
      <w:pPr>
        <w:numPr>
          <w:ilvl w:val="0"/>
          <w:numId w:val="0"/>
        </w:numPr>
        <w:ind w:firstLine="624" w:firstLineChars="200"/>
        <w:textAlignment w:val="baseline"/>
        <w:rPr>
          <w:rFonts w:hint="eastAsia" w:ascii="Times New Roman" w:hAnsi="Times New Roman" w:eastAsia="仿宋_GB2312" w:cs="Times New Roman"/>
          <w:spacing w:val="-4"/>
          <w:kern w:val="2"/>
          <w:sz w:val="32"/>
          <w:szCs w:val="32"/>
          <w:lang w:val="en-US" w:eastAsia="zh-CN" w:bidi="ar-SA"/>
        </w:rPr>
      </w:pPr>
      <w:r>
        <w:rPr>
          <w:rFonts w:ascii="Times New Roman" w:hAnsi="Times New Roman" w:eastAsia="仿宋_GB2312" w:cs="Times New Roman"/>
          <w:spacing w:val="-4"/>
          <w:kern w:val="2"/>
          <w:sz w:val="32"/>
          <w:szCs w:val="32"/>
          <w:lang w:val="en-US" w:eastAsia="zh-CN" w:bidi="ar-SA"/>
        </w:rPr>
        <w:t> </w:t>
      </w:r>
      <w:r>
        <w:rPr>
          <w:rFonts w:hint="eastAsia" w:ascii="Times New Roman" w:hAnsi="Times New Roman" w:eastAsia="仿宋_GB2312" w:cs="Times New Roman"/>
          <w:spacing w:val="-4"/>
          <w:kern w:val="2"/>
          <w:sz w:val="32"/>
          <w:szCs w:val="32"/>
          <w:lang w:val="en-US" w:eastAsia="zh-CN" w:bidi="ar-SA"/>
        </w:rPr>
        <w:t>辖区药品安全逐步提高。</w:t>
      </w:r>
    </w:p>
    <w:p>
      <w:pPr>
        <w:numPr>
          <w:ilvl w:val="0"/>
          <w:numId w:val="0"/>
        </w:numPr>
        <w:ind w:firstLine="624" w:firstLineChars="200"/>
        <w:textAlignment w:val="baseline"/>
        <w:rPr>
          <w:rFonts w:hint="eastAsia"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（2）社会效益指标。</w:t>
      </w:r>
    </w:p>
    <w:p>
      <w:pPr>
        <w:numPr>
          <w:ilvl w:val="0"/>
          <w:numId w:val="0"/>
        </w:numPr>
        <w:ind w:firstLine="624" w:firstLineChars="200"/>
        <w:textAlignment w:val="baseline"/>
        <w:rPr>
          <w:rFonts w:hint="eastAsia"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药品器械及化妆品监管中的“两品一械”总体安全水平和提高人民群众“两品一械”安全科普知识得到不断提高，假冒伪劣产品制售行为不断降低，均达到年初下达指标数。</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（3）</w:t>
      </w:r>
      <w:r>
        <w:rPr>
          <w:rFonts w:ascii="Times New Roman" w:hAnsi="Times New Roman" w:eastAsia="仿宋_GB2312" w:cs="Times New Roman"/>
          <w:spacing w:val="-4"/>
          <w:kern w:val="2"/>
          <w:sz w:val="32"/>
          <w:szCs w:val="32"/>
          <w:lang w:val="en-US" w:eastAsia="zh-CN" w:bidi="ar-SA"/>
        </w:rPr>
        <w:t>可持续影响。</w:t>
      </w:r>
    </w:p>
    <w:p>
      <w:pPr>
        <w:numPr>
          <w:ilvl w:val="0"/>
          <w:numId w:val="0"/>
        </w:numPr>
        <w:ind w:firstLine="624" w:firstLineChars="200"/>
        <w:textAlignment w:val="baseline"/>
        <w:rPr>
          <w:rFonts w:hint="eastAsia"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药品监管水平、化妆品监管水平、医疗器械监管水平和队伍素质和装备配置水平，均达到年初预期指标值。</w:t>
      </w:r>
    </w:p>
    <w:p>
      <w:pPr>
        <w:numPr>
          <w:ilvl w:val="0"/>
          <w:numId w:val="0"/>
        </w:numPr>
        <w:ind w:firstLine="624" w:firstLineChars="200"/>
        <w:textAlignment w:val="baseline"/>
        <w:rPr>
          <w:rFonts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3、</w:t>
      </w:r>
      <w:r>
        <w:rPr>
          <w:rFonts w:ascii="Times New Roman" w:hAnsi="Times New Roman" w:eastAsia="仿宋_GB2312" w:cs="Times New Roman"/>
          <w:spacing w:val="-4"/>
          <w:kern w:val="2"/>
          <w:sz w:val="32"/>
          <w:szCs w:val="32"/>
          <w:lang w:val="en-US" w:eastAsia="zh-CN" w:bidi="ar-SA"/>
        </w:rPr>
        <w:t>满意度指标完成情况分析。</w:t>
      </w:r>
    </w:p>
    <w:p>
      <w:pPr>
        <w:numPr>
          <w:ilvl w:val="0"/>
          <w:numId w:val="0"/>
        </w:numPr>
        <w:ind w:firstLine="624" w:firstLineChars="200"/>
        <w:textAlignment w:val="baseline"/>
        <w:rPr>
          <w:rFonts w:hint="eastAsia"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公众对药品流通环节监管满意度、公众对化妆品监管满意度和公众对医疗器械监管满意度均达到年初预期指标值。</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numPr>
          <w:ilvl w:val="0"/>
          <w:numId w:val="0"/>
        </w:numPr>
        <w:ind w:firstLine="624" w:firstLineChars="200"/>
        <w:textAlignment w:val="baseline"/>
        <w:rPr>
          <w:rFonts w:hint="eastAsia"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制度不够健全，监督不够有力。对专项资金的使用、管理等方面未能达到预期的监督效果。</w:t>
      </w:r>
    </w:p>
    <w:p>
      <w:pPr>
        <w:numPr>
          <w:ilvl w:val="0"/>
          <w:numId w:val="2"/>
        </w:numPr>
        <w:spacing w:line="580" w:lineRule="exact"/>
        <w:ind w:left="0" w:leftChars="0" w:firstLine="640" w:firstLineChars="200"/>
      </w:pPr>
      <w:r>
        <w:rPr>
          <w:rFonts w:hint="eastAsia" w:ascii="仿宋_GB2312" w:hAnsi="仿宋" w:eastAsia="仿宋_GB2312" w:cs="仿宋_GB2312"/>
          <w:sz w:val="32"/>
          <w:szCs w:val="32"/>
        </w:rPr>
        <w:t>相关措施建议</w:t>
      </w:r>
    </w:p>
    <w:p>
      <w:pPr>
        <w:numPr>
          <w:ilvl w:val="0"/>
          <w:numId w:val="0"/>
        </w:numPr>
        <w:ind w:firstLine="624" w:firstLineChars="200"/>
        <w:textAlignment w:val="baseline"/>
        <w:rPr>
          <w:rFonts w:hint="eastAsia"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下一步改进措施：严格内控管理，全面建立并有效实施内部控制，建立健全科学有效的自我约束和监管体系，积极实行绩效评价制度，并将绩效评价结果作为今后财政资金预算安排的重要依据。</w:t>
      </w: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6A462"/>
    <w:multiLevelType w:val="singleLevel"/>
    <w:tmpl w:val="8366A462"/>
    <w:lvl w:ilvl="0" w:tentative="0">
      <w:start w:val="2"/>
      <w:numFmt w:val="decimal"/>
      <w:suff w:val="nothing"/>
      <w:lvlText w:val="%1、"/>
      <w:lvlJc w:val="left"/>
    </w:lvl>
  </w:abstractNum>
  <w:abstractNum w:abstractNumId="1">
    <w:nsid w:val="F74FB0B4"/>
    <w:multiLevelType w:val="singleLevel"/>
    <w:tmpl w:val="F74FB0B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79F54EB"/>
    <w:rsid w:val="19033AA0"/>
    <w:rsid w:val="19AE6187"/>
    <w:rsid w:val="1B4A3EC4"/>
    <w:rsid w:val="25F317D4"/>
    <w:rsid w:val="2E1C16B7"/>
    <w:rsid w:val="31747869"/>
    <w:rsid w:val="32CA5C84"/>
    <w:rsid w:val="369E25CC"/>
    <w:rsid w:val="37930A17"/>
    <w:rsid w:val="3A9D2195"/>
    <w:rsid w:val="480254C8"/>
    <w:rsid w:val="488F0392"/>
    <w:rsid w:val="4A0B0DD8"/>
    <w:rsid w:val="4B4E67A9"/>
    <w:rsid w:val="4E9107DA"/>
    <w:rsid w:val="57B166CC"/>
    <w:rsid w:val="653944C6"/>
    <w:rsid w:val="69BC3076"/>
    <w:rsid w:val="6BAD6043"/>
    <w:rsid w:val="70A9628D"/>
    <w:rsid w:val="74AF6A3C"/>
    <w:rsid w:val="76EC732D"/>
    <w:rsid w:val="77451DF4"/>
    <w:rsid w:val="79A40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semiHidden/>
    <w:qFormat/>
    <w:uiPriority w:val="99"/>
    <w:pPr>
      <w:spacing w:before="100" w:beforeAutospacing="1" w:after="100" w:afterAutospacing="1"/>
      <w:ind w:left="200" w:leftChars="200" w:hanging="200" w:hangingChars="200"/>
    </w:pPr>
  </w:style>
  <w:style w:type="paragraph" w:styleId="4">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标题 1 Char"/>
    <w:basedOn w:val="6"/>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1</TotalTime>
  <ScaleCrop>false</ScaleCrop>
  <LinksUpToDate>false</LinksUpToDate>
  <CharactersWithSpaces>339</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康康</cp:lastModifiedBy>
  <dcterms:modified xsi:type="dcterms:W3CDTF">2023-08-31T00:23:38Z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