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val="en-US" w:eastAsia="zh-CN"/>
        </w:rPr>
      </w:pPr>
      <w:bookmarkStart w:id="0" w:name="_Toc15396616"/>
      <w:r>
        <w:rPr>
          <w:rFonts w:hint="eastAsia" w:ascii="仿宋_GB2312" w:hAnsi="黑体" w:eastAsia="仿宋_GB2312" w:cs="方正小标宋简体"/>
          <w:b/>
          <w:sz w:val="32"/>
          <w:szCs w:val="32"/>
          <w:lang w:val="en-US" w:eastAsia="zh-CN"/>
        </w:rPr>
        <w:t>黑水县市场监督管理局</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lang w:eastAsia="zh-CN"/>
        </w:rPr>
        <w:t>2022</w:t>
      </w:r>
      <w:r>
        <w:rPr>
          <w:rFonts w:hint="eastAsia" w:ascii="仿宋_GB2312" w:hAnsi="黑体" w:eastAsia="仿宋_GB2312" w:cs="方正小标宋简体"/>
          <w:b/>
          <w:sz w:val="32"/>
          <w:szCs w:val="32"/>
        </w:rPr>
        <w:t>年部门</w:t>
      </w:r>
      <w:bookmarkStart w:id="1" w:name="_GoBack"/>
      <w:bookmarkEnd w:id="1"/>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 w:hAnsi="仿宋" w:eastAsia="仿宋" w:cs="仿宋"/>
          <w:color w:val="333333"/>
          <w:sz w:val="32"/>
          <w:szCs w:val="32"/>
          <w:shd w:val="clear" w:color="auto" w:fill="FFFFFF"/>
        </w:rPr>
        <w:t>黑水县</w:t>
      </w:r>
      <w:r>
        <w:rPr>
          <w:rFonts w:hint="eastAsia" w:ascii="仿宋" w:hAnsi="仿宋" w:eastAsia="仿宋" w:cs="仿宋"/>
          <w:color w:val="333333"/>
          <w:sz w:val="32"/>
          <w:szCs w:val="32"/>
          <w:shd w:val="clear" w:color="auto" w:fill="FFFFFF"/>
          <w:lang w:val="en-US" w:eastAsia="zh-CN"/>
        </w:rPr>
        <w:t>市场监督管理局</w:t>
      </w:r>
      <w:r>
        <w:rPr>
          <w:rFonts w:hint="eastAsia" w:ascii="仿宋" w:hAnsi="仿宋" w:eastAsia="仿宋" w:cs="仿宋"/>
          <w:color w:val="333333"/>
          <w:sz w:val="32"/>
          <w:szCs w:val="32"/>
          <w:shd w:val="clear" w:color="auto" w:fill="FFFFFF"/>
        </w:rPr>
        <w:t>属于一级预算单位。其中：行政单位1个，</w:t>
      </w:r>
      <w:r>
        <w:rPr>
          <w:rFonts w:hint="eastAsia" w:ascii="仿宋" w:hAnsi="仿宋" w:eastAsia="仿宋" w:cs="仿宋"/>
          <w:color w:val="333333"/>
          <w:sz w:val="32"/>
          <w:szCs w:val="32"/>
          <w:shd w:val="clear" w:color="auto" w:fill="FFFFFF"/>
          <w:lang w:val="en-US" w:eastAsia="zh-CN"/>
        </w:rPr>
        <w:t>消委会管理中心</w:t>
      </w:r>
      <w:r>
        <w:rPr>
          <w:rFonts w:hint="eastAsia" w:ascii="仿宋" w:hAnsi="仿宋" w:eastAsia="仿宋" w:cs="仿宋"/>
          <w:color w:val="333333"/>
          <w:sz w:val="32"/>
          <w:szCs w:val="32"/>
          <w:shd w:val="clear" w:color="auto" w:fill="FFFFFF"/>
        </w:rPr>
        <w:t>1个。内设</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个机构，分别是办公室、</w:t>
      </w:r>
      <w:r>
        <w:rPr>
          <w:rFonts w:hint="eastAsia" w:ascii="仿宋" w:hAnsi="仿宋" w:eastAsia="仿宋" w:cs="仿宋"/>
          <w:color w:val="333333"/>
          <w:sz w:val="32"/>
          <w:szCs w:val="32"/>
          <w:shd w:val="clear" w:color="auto" w:fill="FFFFFF"/>
          <w:lang w:val="en-US" w:eastAsia="zh-CN"/>
        </w:rPr>
        <w:t>市场规范管理股、食品安全协调股、知识产权和商标广告监督管理股、价格监督与反垄断、反面不正当竞争股、食品安全股、药品安全监督管理股、民营经济协调发展股、特种设备安全与计量标准股。</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黑水县市场监督管理局</w:t>
      </w:r>
      <w:r>
        <w:rPr>
          <w:rFonts w:hint="eastAsia" w:ascii="仿宋_GB2312" w:hAnsi="仿宋" w:eastAsia="仿宋_GB2312" w:cs="仿宋_GB2312"/>
          <w:sz w:val="32"/>
          <w:szCs w:val="32"/>
          <w:lang w:val="en-US" w:eastAsia="zh-CN"/>
        </w:rPr>
        <w:t>主要职能是：负责全县市场综合监督管理、市场主体统一登记注册，组织全县市场监督管理综合执法，反垄断、管理市场秩序、质量、安全、食品、特种设备、药品、知识产权等工作。紧紧围绕县委、县政府中心工作，充分发挥市场监管职能，保障消费者合法权益, 全力助推我县经济发展。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numPr>
          <w:ilvl w:val="0"/>
          <w:numId w:val="0"/>
        </w:num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本单位本年度年末实有人数为41人；年末实有离退休人数为16人，比上年增加0人。年末实有其他人数为0人，比上年增加0人。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Style w:val="5"/>
        <w:shd w:val="clear" w:color="auto" w:fill="FFFFFF"/>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本单位本年度总收入为977.48万元。其中：一般公共预算财政拨款收入为977.48万元，占比100%；政府性基金预算财政拨款收入为0万元，占比0%。</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5"/>
        <w:shd w:val="clear" w:color="auto" w:fill="FFFFFF"/>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本年支出总额1003.74万元。按支出性质：基本支出983.15万元，占本年支出97.94%；项目支出20.58万元，占本年支出2.21%。按支出经济分类：工资福利支出875.75万元，占总支出的87.24%;商品和服务支出105.29万元, 占总支出的10.48%;对个人和家庭的补助支出22.7万元, 占总支出的2.3%。</w:t>
      </w:r>
    </w:p>
    <w:p>
      <w:pPr>
        <w:spacing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（1）、基本支出</w:t>
      </w:r>
    </w:p>
    <w:p>
      <w:pPr>
        <w:snapToGrid w:val="0"/>
        <w:spacing w:line="52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本年度基本支出983.15万元。其中：工资福利支出875.75万元，占总支出的87.24%;商品和服务支出84.7万元, 占总支出的8.43%;对个人和家庭的补助支出22.7万元, 占总支出的2.3%。</w:t>
      </w:r>
    </w:p>
    <w:p>
      <w:pPr>
        <w:snapToGrid w:val="0"/>
        <w:spacing w:line="52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（2）、项目支出</w:t>
      </w:r>
    </w:p>
    <w:p>
      <w:pPr>
        <w:spacing w:line="56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项目支出20.58万元，其中：商品和服务支出20.58万元, 占总支出的2.05%；。</w:t>
      </w:r>
    </w:p>
    <w:p>
      <w:pPr>
        <w:numPr>
          <w:ilvl w:val="0"/>
          <w:numId w:val="2"/>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6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本单位本年度收入调整预算数为977.48万元，收入决算数为977.48万元，预算完成度为100.00%，上年度预算完成度为100.00%。 本年度支出调整预算数为977.48万元，支出决算数为977.48万元，预算完成度为100.00%，上年度预算完成度为100%。按时完成预算编制并提交单位预算草案，在预算编制中，特别注意了对预算编制准确性的把握，并严格按照要求进行预算执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 w:hAnsi="仿宋" w:eastAsia="仿宋" w:cs="Times New Roman"/>
          <w:kern w:val="0"/>
          <w:sz w:val="32"/>
          <w:szCs w:val="24"/>
          <w:lang w:val="en-US" w:eastAsia="zh-CN" w:bidi="ar"/>
        </w:rPr>
      </w:pPr>
      <w:r>
        <w:rPr>
          <w:rFonts w:hint="eastAsia" w:ascii="仿宋" w:hAnsi="仿宋" w:eastAsia="仿宋" w:cs="Times New Roman"/>
          <w:kern w:val="0"/>
          <w:sz w:val="32"/>
          <w:szCs w:val="24"/>
          <w:lang w:val="en-US" w:eastAsia="zh-CN" w:bidi="ar"/>
        </w:rPr>
        <w:t>本单位专项预算主要用于食品安全应急演练，药品监管、食品抽检等，预算项目程序严密、规划合理，分配科学，分配及时，结果符合工作要求。</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5"/>
        <w:shd w:val="clear" w:color="auto" w:fill="FFFFFF"/>
        <w:spacing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本单位在执行公务过程中严格执行“厉行节约、反对浪费”的规定，严格控制“三公”经费支出，加强公务用车管理，部门预算在财政部门批复后及时填报预算公开资料，经财政审核后在政府信息公开网上公示。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5"/>
        <w:spacing w:beforeAutospacing="0" w:afterAutospacing="0"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2022年整体绩效评价得分92分，本年度财政拨款为本单位工作的开展提供了有力的保障，保障了拟定并组织实施市场监督管理事业发展规划和技术机构建设规划。组织推进质量发展工作；组织实施商标品牌战略；参与制定商品交易市场发展规划。负责涉及工商、质量技术、食品药品监督管理的各类汇总审批和汇总许可并实施监督管理。负责查处违反工商、质量技术、食品药品监督管理的各类法律、法规、规章的行为。</w:t>
      </w:r>
    </w:p>
    <w:p>
      <w:pPr>
        <w:numPr>
          <w:ilvl w:val="0"/>
          <w:numId w:val="3"/>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pStyle w:val="5"/>
        <w:spacing w:beforeAutospacing="0" w:afterAutospacing="0"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单位内部各部门沟通方式有待协调改进。</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pStyle w:val="2"/>
        <w:numPr>
          <w:ilvl w:val="0"/>
          <w:numId w:val="0"/>
        </w:numPr>
        <w:ind w:leftChars="200"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1960B"/>
    <w:multiLevelType w:val="singleLevel"/>
    <w:tmpl w:val="BA21960B"/>
    <w:lvl w:ilvl="0" w:tentative="0">
      <w:start w:val="3"/>
      <w:numFmt w:val="chineseCounting"/>
      <w:suff w:val="nothing"/>
      <w:lvlText w:val="%1、"/>
      <w:lvlJc w:val="left"/>
      <w:rPr>
        <w:rFonts w:hint="eastAsia"/>
      </w:rPr>
    </w:lvl>
  </w:abstractNum>
  <w:abstractNum w:abstractNumId="1">
    <w:nsid w:val="CF392F43"/>
    <w:multiLevelType w:val="singleLevel"/>
    <w:tmpl w:val="CF392F43"/>
    <w:lvl w:ilvl="0" w:tentative="0">
      <w:start w:val="2"/>
      <w:numFmt w:val="chineseCounting"/>
      <w:suff w:val="nothing"/>
      <w:lvlText w:val="（%1）"/>
      <w:lvlJc w:val="left"/>
      <w:rPr>
        <w:rFonts w:hint="eastAsia"/>
      </w:rPr>
    </w:lvl>
  </w:abstractNum>
  <w:abstractNum w:abstractNumId="2">
    <w:nsid w:val="18E7CCDB"/>
    <w:multiLevelType w:val="singleLevel"/>
    <w:tmpl w:val="18E7CCD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91B22"/>
    <w:rsid w:val="00291808"/>
    <w:rsid w:val="00491B22"/>
    <w:rsid w:val="0052390C"/>
    <w:rsid w:val="01E42332"/>
    <w:rsid w:val="05784F93"/>
    <w:rsid w:val="1B72670C"/>
    <w:rsid w:val="1C101DF4"/>
    <w:rsid w:val="1DD40030"/>
    <w:rsid w:val="1F7F341E"/>
    <w:rsid w:val="20DF7459"/>
    <w:rsid w:val="23C81AA2"/>
    <w:rsid w:val="2890168B"/>
    <w:rsid w:val="2F3C6753"/>
    <w:rsid w:val="3181739C"/>
    <w:rsid w:val="34EB1F43"/>
    <w:rsid w:val="36435EC2"/>
    <w:rsid w:val="3A1574E7"/>
    <w:rsid w:val="4008583C"/>
    <w:rsid w:val="40EA0F72"/>
    <w:rsid w:val="45C67231"/>
    <w:rsid w:val="4A5A1394"/>
    <w:rsid w:val="4B936091"/>
    <w:rsid w:val="4FB1260F"/>
    <w:rsid w:val="59F172A1"/>
    <w:rsid w:val="59FC3FD7"/>
    <w:rsid w:val="5D775A44"/>
    <w:rsid w:val="5EA5272C"/>
    <w:rsid w:val="5F7B602B"/>
    <w:rsid w:val="60D032A5"/>
    <w:rsid w:val="62FC1DCB"/>
    <w:rsid w:val="65861273"/>
    <w:rsid w:val="685963A8"/>
    <w:rsid w:val="72CD2138"/>
    <w:rsid w:val="72DC635B"/>
    <w:rsid w:val="782667A2"/>
    <w:rsid w:val="78C10469"/>
    <w:rsid w:val="78E30C4C"/>
    <w:rsid w:val="7A4520E3"/>
    <w:rsid w:val="7B0F2A3C"/>
    <w:rsid w:val="7B742524"/>
    <w:rsid w:val="7B9C1E46"/>
    <w:rsid w:val="7CE52068"/>
    <w:rsid w:val="7E4C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200" w:leftChars="200" w:hanging="200" w:hangingChars="200"/>
    </w:pPr>
    <w:rPr>
      <w:kern w:val="0"/>
      <w:sz w:val="20"/>
      <w:szCs w:val="21"/>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2</TotalTime>
  <ScaleCrop>false</ScaleCrop>
  <LinksUpToDate>false</LinksUpToDate>
  <CharactersWithSpaces>359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2023-09-06T08:09:01Z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CEC5099292E543539E1035EE37737DD5_12</vt:lpwstr>
  </property>
</Properties>
</file>