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20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22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食品安全应急演练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项目支出绩效评价报告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一、评价工作开展及项目情况</w:t>
      </w:r>
    </w:p>
    <w:p>
      <w:pPr>
        <w:numPr>
          <w:ilvl w:val="0"/>
          <w:numId w:val="0"/>
        </w:numPr>
        <w:ind w:firstLine="936" w:firstLineChars="300"/>
        <w:rPr>
          <w:spacing w:val="-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县级下达食品安全事故应急演练项目资金5万元（黑财预【2022】008-083号），</w:t>
      </w:r>
      <w:r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/>
        </w:rPr>
        <w:t>主要</w:t>
      </w:r>
      <w:r>
        <w:rPr>
          <w:rFonts w:hint="eastAsia" w:ascii="Times New Roman" w:hAnsi="Times New Roman" w:eastAsia="仿宋_GB2312"/>
          <w:spacing w:val="-4"/>
          <w:kern w:val="2"/>
          <w:sz w:val="32"/>
          <w:szCs w:val="32"/>
        </w:rPr>
        <w:t>用于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开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展2021年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黑水县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食品安全突发事件（Ⅳ级）应急演练及食品安全突发事件应急处置工作。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640" w:firstLineChars="200"/>
        <w:jc w:val="both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食品应急演练项目自评得分92分，按照县委县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政府的安排，我局委托有资质的传媒公司开展食品安全事故应急演练拍摄，按照时限全面完成了所有食品安全应急演练的工作，保证了拍摄食品安全应急演练视频专业性和高质量，并达到预期的效果。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我局精心组织，监督检查，认真验收。项目下达时制定了实施方案，在项目实施过程中，加强对专项资金使用的管理，并按照省市场监督管理局的要求进行管理。项目金额都合理控制在预算范围内，未有超标现象，并按时完成目标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通过食品安全事故应急演练，切实落实食品安全党政同责制度，不断提升我县食品安全事件应急管理水平，让不安全食品没有市场，让食品违法犯罪分子无处藏身，全力保障人民群众“舌尖上的安全”。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ind w:firstLine="624" w:firstLineChars="200"/>
        <w:textAlignment w:val="baseline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1</w:t>
      </w:r>
      <w:r>
        <w:rPr>
          <w:rFonts w:hint="eastAsia" w:eastAsia="仿宋_GB2312" w:cs="Times New Roman"/>
          <w:spacing w:val="-4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项目资金到位情况分析。</w:t>
      </w:r>
    </w:p>
    <w:p>
      <w:pPr>
        <w:ind w:firstLine="624" w:firstLineChars="200"/>
        <w:textAlignment w:val="baseline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年</w:t>
      </w:r>
      <w:r>
        <w:rPr>
          <w:rFonts w:hint="eastAsia" w:eastAsia="仿宋_GB2312" w:cs="Times New Roman"/>
          <w:spacing w:val="-4"/>
          <w:sz w:val="32"/>
          <w:szCs w:val="32"/>
          <w:lang w:val="en-US" w:eastAsia="zh-CN"/>
        </w:rPr>
        <w:t>县级财政下达食品应急演练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资金</w:t>
      </w:r>
      <w:r>
        <w:rPr>
          <w:rFonts w:hint="eastAsia" w:eastAsia="仿宋_GB2312" w:cs="Times New Roman"/>
          <w:spacing w:val="-4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万元。其中: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黑财预【2022】008-083号</w:t>
      </w:r>
      <w:r>
        <w:rPr>
          <w:rFonts w:hint="eastAsia" w:eastAsia="仿宋_GB2312" w:cs="Times New Roman"/>
          <w:spacing w:val="-4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资金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全部到位。</w:t>
      </w:r>
    </w:p>
    <w:p>
      <w:pPr>
        <w:numPr>
          <w:ilvl w:val="0"/>
          <w:numId w:val="1"/>
        </w:numPr>
        <w:ind w:firstLine="624" w:firstLineChars="200"/>
        <w:textAlignment w:val="baseline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项目资金执行情况分析。</w:t>
      </w:r>
    </w:p>
    <w:p>
      <w:pPr>
        <w:numPr>
          <w:ilvl w:val="0"/>
          <w:numId w:val="0"/>
        </w:numPr>
        <w:ind w:firstLine="624" w:firstLineChars="200"/>
        <w:textAlignment w:val="baseline"/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2</w:t>
      </w:r>
      <w:r>
        <w:rPr>
          <w:rFonts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eastAsia="仿宋_GB2312" w:cs="Times New Roman"/>
          <w:spacing w:val="-4"/>
          <w:kern w:val="2"/>
          <w:sz w:val="32"/>
          <w:szCs w:val="32"/>
          <w:lang w:val="en-US" w:eastAsia="zh-CN" w:bidi="ar-SA"/>
        </w:rPr>
        <w:t>食品应急演练资金</w:t>
      </w:r>
      <w:r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支出</w:t>
      </w:r>
      <w:r>
        <w:rPr>
          <w:rFonts w:hint="eastAsia" w:eastAsia="仿宋_GB2312" w:cs="Times New Roman"/>
          <w:spacing w:val="-4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万元，</w:t>
      </w:r>
      <w:r>
        <w:rPr>
          <w:rFonts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其中: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黑财预【2022】008-083号</w:t>
      </w:r>
      <w:r>
        <w:rPr>
          <w:rFonts w:hint="eastAsia" w:eastAsia="仿宋_GB2312" w:cs="Times New Roman"/>
          <w:spacing w:val="-4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806" w:firstLineChars="25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2021年我局组织开展了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食品安全事故应急演练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（Ⅳ级）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桌面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演练，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此次演练采用视频推演和现场演练结合方式进行，模拟了黑水县某景区餐厅游客就餐后，发生了群发性的食物中毒事件为背景，各相关单位部门领导和执法人员根据职责分工，按照事故发生、发展的不同阶段，分别对事故发生与报告、先期处置与响应、紧急处置与调查、维稳疏导、响应终结、后期处置6个科目逐项进行演练。整个演练组织严密、形象生动、贴近实战，展现了各部门群策群力、密切协作的生动场面，取得了圆满成功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通过开展应急演练和应急处置工作，有效化解了食品安全风险隐患，我县多年未发生重大食品安全事件，提升了我县应对食品安全突发事件应急处置能力。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存在主要问题</w:t>
      </w:r>
    </w:p>
    <w:p>
      <w:pPr>
        <w:pStyle w:val="2"/>
        <w:ind w:left="1058" w:leftChars="504" w:firstLine="0" w:firstLineChars="0"/>
        <w:rPr>
          <w:rFonts w:hint="eastAsia" w:eastAsia="仿宋_GB231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无</w:t>
      </w:r>
    </w:p>
    <w:p>
      <w:pPr>
        <w:numPr>
          <w:ilvl w:val="0"/>
          <w:numId w:val="0"/>
        </w:numPr>
        <w:spacing w:line="580" w:lineRule="exact"/>
        <w:ind w:leftChars="200" w:firstLine="320" w:firstLineChars="100"/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" w:eastAsia="仿宋_GB2312" w:cs="仿宋_GB2312"/>
          <w:sz w:val="32"/>
          <w:szCs w:val="32"/>
        </w:rPr>
        <w:t>相关措施建议</w:t>
      </w:r>
    </w:p>
    <w:p>
      <w:pPr>
        <w:pStyle w:val="2"/>
        <w:ind w:left="1058" w:leftChars="504" w:firstLine="0" w:firstLineChars="0"/>
      </w:pPr>
      <w:r>
        <w:rPr>
          <w:rFonts w:hint="eastAsia" w:eastAsia="仿宋_GB2312" w:cs="Times New Roman"/>
          <w:spacing w:val="-4"/>
          <w:kern w:val="2"/>
          <w:sz w:val="32"/>
          <w:szCs w:val="32"/>
          <w:lang w:val="en-US" w:eastAsia="zh-CN" w:bidi="ar-SA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6A462"/>
    <w:multiLevelType w:val="singleLevel"/>
    <w:tmpl w:val="8366A46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74FB0B4"/>
    <w:multiLevelType w:val="singleLevel"/>
    <w:tmpl w:val="F74FB0B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2EC"/>
    <w:rsid w:val="004C22EC"/>
    <w:rsid w:val="007B38C6"/>
    <w:rsid w:val="03465E0B"/>
    <w:rsid w:val="079F54EB"/>
    <w:rsid w:val="0D481E17"/>
    <w:rsid w:val="0F7B69E1"/>
    <w:rsid w:val="16943A64"/>
    <w:rsid w:val="18914438"/>
    <w:rsid w:val="19033AA0"/>
    <w:rsid w:val="19AE6187"/>
    <w:rsid w:val="1B4A3EC4"/>
    <w:rsid w:val="25F317D4"/>
    <w:rsid w:val="2C6300EF"/>
    <w:rsid w:val="2E1C16B7"/>
    <w:rsid w:val="31225960"/>
    <w:rsid w:val="31747869"/>
    <w:rsid w:val="32CA5C84"/>
    <w:rsid w:val="369E25CC"/>
    <w:rsid w:val="37930A17"/>
    <w:rsid w:val="3A9D2195"/>
    <w:rsid w:val="3DB55DF4"/>
    <w:rsid w:val="3DCA7345"/>
    <w:rsid w:val="439F12AD"/>
    <w:rsid w:val="45B13B1D"/>
    <w:rsid w:val="480254C8"/>
    <w:rsid w:val="486F7189"/>
    <w:rsid w:val="488F0392"/>
    <w:rsid w:val="48D3706C"/>
    <w:rsid w:val="49EC1006"/>
    <w:rsid w:val="4A0B0DD8"/>
    <w:rsid w:val="4B4E67A9"/>
    <w:rsid w:val="4C581A70"/>
    <w:rsid w:val="4DA76FEF"/>
    <w:rsid w:val="4E9107DA"/>
    <w:rsid w:val="57B166CC"/>
    <w:rsid w:val="592A213E"/>
    <w:rsid w:val="5ACE79D3"/>
    <w:rsid w:val="62981669"/>
    <w:rsid w:val="653944C6"/>
    <w:rsid w:val="66A63FCB"/>
    <w:rsid w:val="69BC3076"/>
    <w:rsid w:val="6B5751E8"/>
    <w:rsid w:val="6BAD6043"/>
    <w:rsid w:val="6CB7687A"/>
    <w:rsid w:val="6F1F426F"/>
    <w:rsid w:val="70A9628D"/>
    <w:rsid w:val="72BC02D3"/>
    <w:rsid w:val="74AF6A3C"/>
    <w:rsid w:val="76EC732D"/>
    <w:rsid w:val="77451DF4"/>
    <w:rsid w:val="79A40E78"/>
    <w:rsid w:val="7E9446A5"/>
    <w:rsid w:val="7EFDA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99"/>
    <w:pPr>
      <w:spacing w:before="100" w:beforeAutospacing="1" w:after="100" w:afterAutospacing="1"/>
      <w:ind w:left="200" w:leftChars="200" w:hanging="200" w:hangingChars="2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50</Words>
  <Characters>290</Characters>
  <Lines>2</Lines>
  <Paragraphs>1</Paragraphs>
  <TotalTime>1</TotalTime>
  <ScaleCrop>false</ScaleCrop>
  <LinksUpToDate>false</LinksUpToDate>
  <CharactersWithSpaces>339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2023-09-13T17:45:01Z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4BF245064988F7DC9D8401654C153266</vt:lpwstr>
  </property>
</Properties>
</file>