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知识产权</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default" w:ascii="仿宋_GB2312" w:hAnsi="仿宋_GB2312" w:eastAsia="仿宋_GB2312" w:cs="仿宋_GB2312"/>
          <w:b w:val="0"/>
          <w:bCs w:val="0"/>
          <w:color w:val="000000" w:themeColor="text1"/>
          <w:sz w:val="32"/>
          <w:szCs w:val="32"/>
          <w:lang w:val="en-US" w:eastAsia="zh-CN"/>
        </w:rPr>
      </w:pPr>
      <w:r>
        <w:rPr>
          <w:rFonts w:hint="eastAsia" w:ascii="仿宋" w:hAnsi="仿宋" w:eastAsia="仿宋" w:cs="仿宋"/>
          <w:sz w:val="32"/>
          <w:szCs w:val="32"/>
          <w:rtl w:val="0"/>
          <w:lang w:eastAsia="zh-CN"/>
        </w:rPr>
        <w:t>习近平总书记</w:t>
      </w:r>
      <w:r>
        <w:rPr>
          <w:rFonts w:hint="eastAsia" w:ascii="仿宋" w:hAnsi="仿宋" w:eastAsia="仿宋" w:cs="仿宋"/>
          <w:sz w:val="32"/>
          <w:szCs w:val="32"/>
          <w:rtl w:val="0"/>
        </w:rPr>
        <w:t>强调，“产业振兴是乡村振兴的重中之重，要坚持精准发力，立足特色资源，关注市场需求，发展优势产业，促进一二三产业融合发展，更多更好惠及农村农民。”产业兴旺是解决农村一切问题的前提，乡村振兴关键是产业要振兴。</w:t>
      </w:r>
      <w:r>
        <w:rPr>
          <w:rFonts w:hint="eastAsia" w:ascii="仿宋" w:hAnsi="仿宋" w:eastAsia="仿宋" w:cs="仿宋"/>
          <w:sz w:val="32"/>
          <w:szCs w:val="32"/>
          <w:rtl w:val="0"/>
          <w:lang w:eastAsia="zh-CN"/>
        </w:rPr>
        <w:t>习近平总书记</w:t>
      </w:r>
      <w:r>
        <w:rPr>
          <w:rFonts w:hint="eastAsia" w:ascii="仿宋" w:hAnsi="仿宋" w:eastAsia="仿宋" w:cs="仿宋"/>
          <w:sz w:val="32"/>
          <w:szCs w:val="32"/>
          <w:rtl w:val="0"/>
        </w:rPr>
        <w:t>在党的二十大报告中强调，“发展乡村特色产业，拓宽农民增收致富渠道。” 黑水凤尾鸡觅食于高山灌丛林地，食野草、饮山泉，肌肉发达，切面光亮有弹性，肉质细嫩、鲜香而味浓。经相关单位检测，黑水凤尾鸡蛋白质和氨基酸含量高，脂肪含量低。凤尾鸡肉营养丰富，是高蛋白，低脂肪的健康食品，含有多种维生素，钙，磷，锌，铁，镁等微量元素。常食可以起到温中益气，补精填髓，补虚损的功效。尤其适宜虚劳瘦弱，营养不良，气血不足的人食用。黑水凤尾鸡于2014年取得农业</w:t>
      </w:r>
      <w:r>
        <w:rPr>
          <w:rFonts w:hint="eastAsia" w:ascii="仿宋" w:hAnsi="仿宋" w:eastAsia="仿宋" w:cs="仿宋"/>
          <w:sz w:val="32"/>
          <w:szCs w:val="32"/>
          <w:rtl w:val="0"/>
          <w:lang w:eastAsia="zh-CN"/>
        </w:rPr>
        <w:t>农村</w:t>
      </w:r>
      <w:r>
        <w:rPr>
          <w:rFonts w:hint="eastAsia" w:ascii="仿宋" w:hAnsi="仿宋" w:eastAsia="仿宋" w:cs="仿宋"/>
          <w:sz w:val="32"/>
          <w:szCs w:val="32"/>
          <w:rtl w:val="0"/>
        </w:rPr>
        <w:t xml:space="preserve">部农产品地理标志登记证书。 2013年，黑水县立足自身资源禀赋，围绕沟域经济布局，紧扣脱贫攻坚主线，确立了“六大沟域经济”规划，明确了“生态蔬菜、藏香猪、早实核桃、凤尾鸡、道地药材、黑水蜂”六大主导产业。近年来，在黑水县委、县政府的大力支持下，黑水凤尾鸡产业提高了有效的提升。在黑水县相窝中药材种植专业合作社带领下，相继13家黑水凤尾鸡养殖合作社共同成立志众凤尾鸡养殖农民专业合作社联合社，2021年累计出栏黑水凤尾鸡达22万只，黑水凤尾鸡生态养殖产业成为当地农牧民群众增收致富的主打产业。 </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知识产权专项资金项目绩效自评得分96分，按照计划进度完成</w:t>
      </w:r>
      <w:r>
        <w:rPr>
          <w:rFonts w:hint="eastAsia" w:ascii="仿宋_GB2312" w:hAnsi="仿宋_GB2312" w:eastAsia="仿宋_GB2312" w:cs="仿宋_GB2312"/>
          <w:b w:val="0"/>
          <w:bCs w:val="0"/>
          <w:sz w:val="32"/>
          <w:szCs w:val="32"/>
          <w:highlight w:val="none"/>
          <w:lang w:val="zh-CN"/>
        </w:rPr>
        <w:t>实施，</w:t>
      </w:r>
      <w:r>
        <w:rPr>
          <w:rFonts w:hint="eastAsia" w:ascii="仿宋_GB2312" w:hAnsi="仿宋_GB2312" w:eastAsia="仿宋_GB2312" w:cs="仿宋_GB2312"/>
          <w:b w:val="0"/>
          <w:bCs w:val="0"/>
          <w:sz w:val="32"/>
          <w:szCs w:val="32"/>
          <w:highlight w:val="none"/>
          <w:lang w:val="en-US" w:eastAsia="zh-CN"/>
        </w:rPr>
        <w:t>开展组织实施培训以及关键技术集成研发。</w:t>
      </w: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决策程序严密，项目立项、调整延续等方面符合资金管理基本规范和决策程序要求等方面的要求，项目规划是按照中央、省委省政府有关决策部署安排的要求，充分评估论证项目立项必要性、前瞻性、合理性和可行性，项目绩效目标设置科学合理。</w:t>
      </w:r>
      <w:r>
        <w:rPr>
          <w:rFonts w:hint="eastAsia" w:eastAsia="仿宋_GB2312" w:cs="Times New Roman"/>
          <w:color w:val="auto"/>
          <w:sz w:val="32"/>
          <w:szCs w:val="32"/>
          <w:lang w:val="en-US" w:eastAsia="zh-CN"/>
        </w:rPr>
        <w:t>项目是按中央、省委要求全面完成绩效目标（含事前评估）、绩效评价、以前年度问题整改等预算绩效</w:t>
      </w:r>
      <w:r>
        <w:rPr>
          <w:rFonts w:hint="eastAsia" w:ascii="Times New Roman" w:hAnsi="Times New Roman" w:eastAsia="仿宋_GB2312" w:cs="Times New Roman"/>
          <w:color w:val="auto"/>
          <w:sz w:val="32"/>
          <w:szCs w:val="32"/>
          <w:lang w:val="en-US" w:eastAsia="zh-CN"/>
        </w:rPr>
        <w:t>管理工作，定期、不定期开展绩效评价工作。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建立健全项目管理制度体系，不存在管理制度缺失、管理办法过期情况，资金是根据我县发展实际和发展需求进行分配的，资金区域分布结果公平合理，分配依据充分合理项目申报审核程序是按规定程序履行项目审批，上级下达资金</w:t>
      </w:r>
      <w:r>
        <w:rPr>
          <w:rFonts w:hint="eastAsia"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万元，支出</w:t>
      </w:r>
      <w:r>
        <w:rPr>
          <w:rFonts w:hint="eastAsia"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万元。</w:t>
      </w:r>
      <w:r>
        <w:rPr>
          <w:rFonts w:hint="eastAsia" w:ascii="仿宋" w:hAnsi="仿宋" w:eastAsia="仿宋" w:cs="仿宋"/>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default" w:ascii="楷体_GB2312" w:hAnsi="宋体" w:eastAsia="楷体_GB2312" w:cs="Times New Roman"/>
          <w:b/>
          <w:color w:val="auto"/>
          <w:sz w:val="32"/>
          <w:szCs w:val="32"/>
          <w:highlight w:val="none"/>
          <w:u w:val="none"/>
          <w:lang w:val="zh-CN" w:eastAsia="zh-CN"/>
        </w:rPr>
      </w:pPr>
      <w:r>
        <w:rPr>
          <w:rFonts w:hint="eastAsia" w:ascii="仿宋" w:hAnsi="仿宋" w:eastAsia="仿宋" w:cs="仿宋"/>
          <w:sz w:val="32"/>
          <w:szCs w:val="32"/>
          <w:rtl w:val="0"/>
        </w:rPr>
        <w:t>通过本项目的实施，</w:t>
      </w:r>
      <w:bookmarkStart w:id="0" w:name="_GoBack"/>
      <w:bookmarkEnd w:id="0"/>
      <w:r>
        <w:rPr>
          <w:rFonts w:hint="eastAsia" w:ascii="仿宋" w:hAnsi="仿宋" w:eastAsia="仿宋" w:cs="仿宋"/>
          <w:sz w:val="32"/>
          <w:szCs w:val="32"/>
          <w:rtl w:val="0"/>
        </w:rPr>
        <w:t>拟在木日窝村建立黑水凤尾鸡生态养殖科技示范点1个，集成凤尾鸡生态养殖关键技术1套</w:t>
      </w:r>
      <w:r>
        <w:rPr>
          <w:rFonts w:hint="eastAsia" w:ascii="仿宋" w:hAnsi="仿宋" w:eastAsia="仿宋" w:cs="仿宋"/>
          <w:sz w:val="32"/>
          <w:szCs w:val="32"/>
          <w:rtl w:val="0"/>
          <w:lang w:eastAsia="zh-CN"/>
        </w:rPr>
        <w:t>；</w:t>
      </w:r>
      <w:r>
        <w:rPr>
          <w:rFonts w:hint="eastAsia" w:ascii="仿宋" w:hAnsi="仿宋" w:eastAsia="仿宋" w:cs="仿宋"/>
          <w:sz w:val="32"/>
          <w:szCs w:val="32"/>
          <w:rtl w:val="0"/>
          <w:lang w:val="en-US" w:eastAsia="zh-CN"/>
        </w:rPr>
        <w:t>通过技术培训提升合作社成员以及黑水凤尾鸡养殖户生产管理技术水平，带动周边20户农牧民开展凤尾鸡养殖，年出栏优质凤尾鸡1万只，实现产值80万元。通过</w:t>
      </w:r>
      <w:r>
        <w:rPr>
          <w:rFonts w:hint="eastAsia" w:ascii="仿宋" w:hAnsi="仿宋" w:eastAsia="仿宋" w:cs="仿宋"/>
          <w:sz w:val="32"/>
          <w:szCs w:val="32"/>
          <w:rtl w:val="0"/>
          <w:lang w:eastAsia="zh-CN"/>
        </w:rPr>
        <w:t>开展黑水凤尾鸡生态养殖关键技术集成研发工作，带动</w:t>
      </w:r>
      <w:r>
        <w:rPr>
          <w:rFonts w:hint="eastAsia" w:ascii="仿宋" w:hAnsi="仿宋" w:eastAsia="仿宋" w:cs="仿宋"/>
          <w:sz w:val="32"/>
          <w:szCs w:val="32"/>
          <w:rtl w:val="0"/>
          <w:lang w:val="en-US" w:eastAsia="zh-CN"/>
        </w:rPr>
        <w:t>周边</w:t>
      </w:r>
      <w:r>
        <w:rPr>
          <w:rFonts w:hint="eastAsia" w:ascii="仿宋" w:hAnsi="仿宋" w:eastAsia="仿宋" w:cs="仿宋"/>
          <w:sz w:val="32"/>
          <w:szCs w:val="32"/>
          <w:rtl w:val="0"/>
          <w:lang w:eastAsia="zh-CN"/>
        </w:rPr>
        <w:t>农牧民开展凤尾鸡养殖，</w:t>
      </w:r>
      <w:r>
        <w:rPr>
          <w:rFonts w:hint="eastAsia" w:ascii="仿宋" w:hAnsi="仿宋" w:eastAsia="仿宋" w:cs="仿宋"/>
          <w:sz w:val="32"/>
          <w:szCs w:val="32"/>
          <w:rtl w:val="0"/>
          <w:lang w:val="en-US" w:eastAsia="zh-CN"/>
        </w:rPr>
        <w:t>提高农牧民的收入。</w:t>
      </w:r>
    </w:p>
    <w:p>
      <w:pPr>
        <w:numPr>
          <w:ilvl w:val="0"/>
          <w:numId w:val="1"/>
        </w:numPr>
        <w:spacing w:line="58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sz w:val="32"/>
          <w:szCs w:val="32"/>
        </w:rPr>
        <w:t>存在主要问题</w:t>
      </w:r>
    </w:p>
    <w:p>
      <w:pPr>
        <w:numPr>
          <w:ilvl w:val="0"/>
          <w:numId w:val="0"/>
        </w:numPr>
        <w:spacing w:line="580" w:lineRule="exact"/>
        <w:ind w:firstLine="1920" w:firstLineChars="6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四、相关措施建议</w:t>
      </w:r>
    </w:p>
    <w:p>
      <w:pPr>
        <w:spacing w:line="580" w:lineRule="exact"/>
        <w:ind w:firstLine="1920" w:firstLineChars="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5F6F5"/>
    <w:multiLevelType w:val="singleLevel"/>
    <w:tmpl w:val="B8B5F6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yZDA4NDRhNTlhYjEzMDkwNWNhMzc0MTdhYzdmNzQifQ=="/>
  </w:docVars>
  <w:rsids>
    <w:rsidRoot w:val="004C22EC"/>
    <w:rsid w:val="004C22EC"/>
    <w:rsid w:val="007268F4"/>
    <w:rsid w:val="007B38C6"/>
    <w:rsid w:val="01527EDF"/>
    <w:rsid w:val="06D7510F"/>
    <w:rsid w:val="0AA3007B"/>
    <w:rsid w:val="0BE61950"/>
    <w:rsid w:val="0E0D07B0"/>
    <w:rsid w:val="0E80608C"/>
    <w:rsid w:val="100566B3"/>
    <w:rsid w:val="144B02B5"/>
    <w:rsid w:val="14D507B4"/>
    <w:rsid w:val="16631652"/>
    <w:rsid w:val="17424826"/>
    <w:rsid w:val="178E1402"/>
    <w:rsid w:val="1A2C356C"/>
    <w:rsid w:val="1B4A3EC4"/>
    <w:rsid w:val="1D8E249F"/>
    <w:rsid w:val="1FDD7A2F"/>
    <w:rsid w:val="207D242B"/>
    <w:rsid w:val="222A65E3"/>
    <w:rsid w:val="238739AA"/>
    <w:rsid w:val="241F1A4B"/>
    <w:rsid w:val="244E01D1"/>
    <w:rsid w:val="252F3F10"/>
    <w:rsid w:val="27280C17"/>
    <w:rsid w:val="27C135C1"/>
    <w:rsid w:val="2BBB31A5"/>
    <w:rsid w:val="2C5B55EB"/>
    <w:rsid w:val="2FDE6C5E"/>
    <w:rsid w:val="301B756B"/>
    <w:rsid w:val="30AB577E"/>
    <w:rsid w:val="33DA011B"/>
    <w:rsid w:val="358B1B11"/>
    <w:rsid w:val="3A217E73"/>
    <w:rsid w:val="423607D0"/>
    <w:rsid w:val="42F56341"/>
    <w:rsid w:val="433018AA"/>
    <w:rsid w:val="43370708"/>
    <w:rsid w:val="44BF1C4E"/>
    <w:rsid w:val="46A2058E"/>
    <w:rsid w:val="474433F3"/>
    <w:rsid w:val="4A0B0DD8"/>
    <w:rsid w:val="4B555537"/>
    <w:rsid w:val="4E4C150B"/>
    <w:rsid w:val="50715259"/>
    <w:rsid w:val="51A258E6"/>
    <w:rsid w:val="55704B34"/>
    <w:rsid w:val="55DE3B25"/>
    <w:rsid w:val="57B166CC"/>
    <w:rsid w:val="57BD0D84"/>
    <w:rsid w:val="591E6307"/>
    <w:rsid w:val="5A026F22"/>
    <w:rsid w:val="5BF907F8"/>
    <w:rsid w:val="5DBC40E7"/>
    <w:rsid w:val="5EF7669F"/>
    <w:rsid w:val="5F1020E1"/>
    <w:rsid w:val="678673E4"/>
    <w:rsid w:val="680B1697"/>
    <w:rsid w:val="68C87588"/>
    <w:rsid w:val="6953779A"/>
    <w:rsid w:val="695452C0"/>
    <w:rsid w:val="6A58493C"/>
    <w:rsid w:val="6BAC7496"/>
    <w:rsid w:val="6C6E0447"/>
    <w:rsid w:val="6D400035"/>
    <w:rsid w:val="6E276AFF"/>
    <w:rsid w:val="731F693F"/>
    <w:rsid w:val="73E3171A"/>
    <w:rsid w:val="740D2C3B"/>
    <w:rsid w:val="746C5BB4"/>
    <w:rsid w:val="7476433D"/>
    <w:rsid w:val="75145F0E"/>
    <w:rsid w:val="76B455F0"/>
    <w:rsid w:val="76E9529A"/>
    <w:rsid w:val="77991202"/>
    <w:rsid w:val="786170B2"/>
    <w:rsid w:val="7A8F43AA"/>
    <w:rsid w:val="7AF9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able of figures"/>
    <w:basedOn w:val="1"/>
    <w:next w:val="1"/>
    <w:qFormat/>
    <w:uiPriority w:val="0"/>
    <w:pPr>
      <w:ind w:left="200" w:leftChars="200" w:hanging="200" w:hangingChars="200"/>
    </w:p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9"/>
    <w:rPr>
      <w:rFonts w:ascii="Times New Roman" w:hAnsi="Times New Roman" w:eastAsia="宋体" w:cs="Times New Roman"/>
      <w:b/>
      <w:bCs/>
      <w:kern w:val="44"/>
      <w:sz w:val="44"/>
      <w:szCs w:val="44"/>
    </w:rPr>
  </w:style>
  <w:style w:type="paragraph" w:customStyle="1" w:styleId="1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1065</Words>
  <Characters>1076</Characters>
  <Lines>2</Lines>
  <Paragraphs>1</Paragraphs>
  <TotalTime>2</TotalTime>
  <ScaleCrop>false</ScaleCrop>
  <LinksUpToDate>false</LinksUpToDate>
  <CharactersWithSpaces>1076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2025-04-17T16:54:16Z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0F21F163815F4C3598FE48A84417370A_12</vt:lpwstr>
  </property>
</Properties>
</file>