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黑体" w:eastAsia="仿宋_GB2312" w:cs="方正小标宋简体"/>
          <w:b/>
          <w:sz w:val="44"/>
          <w:szCs w:val="44"/>
        </w:rPr>
      </w:pPr>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23</w:t>
      </w:r>
      <w:r>
        <w:rPr>
          <w:rFonts w:hint="eastAsia" w:ascii="仿宋_GB2312" w:hAnsi="黑体" w:eastAsia="仿宋_GB2312" w:cs="方正小标宋简体"/>
          <w:b/>
          <w:sz w:val="44"/>
          <w:szCs w:val="44"/>
        </w:rPr>
        <w:t>年</w:t>
      </w:r>
      <w:r>
        <w:rPr>
          <w:rFonts w:hint="eastAsia" w:ascii="仿宋_GB2312" w:hAnsi="黑体" w:eastAsia="仿宋_GB2312" w:cs="方正小标宋简体"/>
          <w:b/>
          <w:sz w:val="44"/>
          <w:szCs w:val="44"/>
          <w:lang w:val="en-US" w:eastAsia="zh-CN"/>
        </w:rPr>
        <w:t>药品监管</w:t>
      </w:r>
      <w:r>
        <w:rPr>
          <w:rFonts w:hint="eastAsia" w:ascii="仿宋_GB2312" w:hAnsi="黑体" w:eastAsia="仿宋_GB2312" w:cs="方正小标宋简体"/>
          <w:b/>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584" w:firstLineChars="200"/>
        <w:textAlignment w:val="auto"/>
        <w:rPr>
          <w:rFonts w:hint="eastAsia" w:ascii="Times New Roman" w:hAnsi="Times New Roman" w:eastAsia="仿宋_GB2312"/>
          <w:spacing w:val="-4"/>
          <w:kern w:val="2"/>
          <w:sz w:val="30"/>
          <w:szCs w:val="30"/>
          <w:lang w:val="zh-CN" w:eastAsia="zh-CN"/>
        </w:rPr>
      </w:pPr>
      <w:r>
        <w:rPr>
          <w:rFonts w:hint="eastAsia" w:ascii="Times New Roman" w:hAnsi="Times New Roman" w:eastAsia="仿宋_GB2312"/>
          <w:spacing w:val="-4"/>
          <w:kern w:val="2"/>
          <w:sz w:val="30"/>
          <w:szCs w:val="30"/>
          <w:lang w:val="en-US" w:eastAsia="zh-CN"/>
        </w:rPr>
        <w:t>根据《关于下达2023年药品监管补助资金预算的通知》，2023年中央省级安排部署，开展药品化妆品不良反应、药品安全知识宣传活动等工作。</w:t>
      </w:r>
      <w:r>
        <w:rPr>
          <w:rFonts w:hint="eastAsia" w:ascii="FangSong_GB2312" w:hAnsi="FangSong_GB2312" w:eastAsia="FangSong_GB2312" w:cs="FangSong_GB2312"/>
          <w:color w:val="000000" w:themeColor="text1"/>
          <w:sz w:val="30"/>
          <w:szCs w:val="30"/>
          <w:lang w:val="en-US" w:eastAsia="zh-CN"/>
        </w:rPr>
        <w:t>通过</w:t>
      </w:r>
      <w:r>
        <w:rPr>
          <w:rFonts w:hint="eastAsia" w:ascii="FangSong_GB2312" w:hAnsi="FangSong_GB2312" w:eastAsia="FangSong_GB2312" w:cs="FangSong_GB2312"/>
          <w:color w:val="000000" w:themeColor="text1"/>
          <w:sz w:val="30"/>
          <w:szCs w:val="30"/>
          <w:lang w:eastAsia="zh-CN"/>
        </w:rPr>
        <w:t>专项整治行动工作，紧盯药品购销渠道、冷链管理等风险点，严厉查处制售假药劣药、非法渠道购进药品、网络非法销售药品等违法行为。聚焦重点品种、重点企业（单位）和重点环节，梳理排查风险隐患，及时发现并消除苗头性、倾向性问题。对化妆品经营企业加大日常监督检查力度，严厉打击违法违规行为，保障公众用妆安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pStyle w:val="4"/>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中央省级药品监管补助资金预算项目绩效自评得分95分，通过对药品、化妆品等的抽查，处置不合格产品，在今后监管的工作中对药品、化妆品经营企业加大日常监督检查力度，严厉打击违法违规行为，保障公众用妆安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决策程序严密，项目立项、调整延续等方面符合资金管理基本规范和决策程序要求等方面的要求，项目规划是按照中央、省委省政府有关决策部署安排的要求，充分评估论证项目立项必要性、前瞻性、合理性和可行性，项目绩效目标设置科学合理。</w:t>
      </w:r>
      <w:r>
        <w:rPr>
          <w:rFonts w:hint="eastAsia" w:eastAsia="仿宋_GB2312" w:cs="Times New Roman"/>
          <w:color w:val="auto"/>
          <w:sz w:val="32"/>
          <w:szCs w:val="32"/>
          <w:lang w:val="en-US" w:eastAsia="zh-CN"/>
        </w:rPr>
        <w:t>项目是按中央、省委要求全面完成绩效目标（含事前评估）、绩效评价、以前年度问题整改等预算绩效</w:t>
      </w:r>
      <w:r>
        <w:rPr>
          <w:rFonts w:hint="eastAsia" w:ascii="Times New Roman" w:hAnsi="Times New Roman" w:eastAsia="仿宋_GB2312" w:cs="Times New Roman"/>
          <w:color w:val="auto"/>
          <w:sz w:val="32"/>
          <w:szCs w:val="32"/>
          <w:lang w:val="en-US" w:eastAsia="zh-CN"/>
        </w:rPr>
        <w:t>管理工作，定期、不定期开展绩效评价工作。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建立健全项目管理制度体系，不存在管理制度缺失、管理办法过期情况，资金是根据我县发展实际和发展需求进行分配的，资金区域分布结果公平合理，分配依据充分合理项目申报审核程序是按规定程序履行项目审批，上级下达资金</w:t>
      </w:r>
      <w:r>
        <w:rPr>
          <w:rFonts w:hint="eastAsia"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val="en-US" w:eastAsia="zh-CN"/>
        </w:rPr>
        <w:t>万元，支出</w:t>
      </w:r>
      <w:r>
        <w:rPr>
          <w:rFonts w:hint="eastAsia"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val="en-US" w:eastAsia="zh-CN"/>
        </w:rPr>
        <w:t>万元。</w:t>
      </w:r>
      <w:r>
        <w:rPr>
          <w:rFonts w:hint="eastAsia" w:ascii="仿宋" w:hAnsi="仿宋" w:eastAsia="仿宋" w:cs="仿宋"/>
          <w:sz w:val="32"/>
          <w:szCs w:val="32"/>
          <w:highlight w:val="none"/>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numPr>
          <w:ilvl w:val="0"/>
          <w:numId w:val="0"/>
        </w:numPr>
        <w:spacing w:line="520" w:lineRule="exact"/>
        <w:ind w:firstLine="900" w:firstLineChars="300"/>
        <w:rPr>
          <w:rFonts w:hint="default" w:ascii="楷体_GB2312" w:hAnsi="宋体" w:eastAsia="楷体_GB2312" w:cs="Times New Roman"/>
          <w:b/>
          <w:color w:val="auto"/>
          <w:sz w:val="32"/>
          <w:szCs w:val="32"/>
          <w:highlight w:val="none"/>
          <w:u w:val="none"/>
          <w:lang w:val="zh-CN" w:eastAsia="zh-CN"/>
        </w:rPr>
      </w:pPr>
      <w:r>
        <w:rPr>
          <w:rFonts w:hint="eastAsia" w:ascii="华文仿宋" w:hAnsi="华文仿宋" w:eastAsia="华文仿宋" w:cs="华文仿宋"/>
          <w:sz w:val="30"/>
          <w:szCs w:val="30"/>
          <w:lang w:val="en-US" w:eastAsia="zh-CN"/>
        </w:rPr>
        <w:t>按照年初的工作计划，我局对</w:t>
      </w:r>
      <w:r>
        <w:rPr>
          <w:rFonts w:hint="eastAsia" w:ascii="华文仿宋" w:hAnsi="华文仿宋" w:eastAsia="华文仿宋" w:cs="华文仿宋"/>
          <w:sz w:val="30"/>
          <w:szCs w:val="30"/>
        </w:rPr>
        <w:t>医疗机构及药店门市药品采购、验收、储存养护和使用行为进行监管，</w:t>
      </w:r>
      <w:r>
        <w:rPr>
          <w:rFonts w:hint="eastAsia" w:ascii="华文仿宋" w:hAnsi="华文仿宋" w:eastAsia="华文仿宋" w:cs="华文仿宋"/>
          <w:sz w:val="30"/>
          <w:szCs w:val="30"/>
          <w:lang w:val="en-US" w:eastAsia="zh-CN"/>
        </w:rPr>
        <w:t>加强</w:t>
      </w:r>
      <w:r>
        <w:rPr>
          <w:rFonts w:hint="eastAsia" w:ascii="华文仿宋" w:hAnsi="华文仿宋" w:eastAsia="华文仿宋" w:cs="华文仿宋"/>
          <w:sz w:val="30"/>
          <w:szCs w:val="30"/>
        </w:rPr>
        <w:t>药械化妆品不良反应监测上报</w:t>
      </w:r>
      <w:r>
        <w:rPr>
          <w:rFonts w:hint="eastAsia" w:ascii="华文仿宋" w:hAnsi="华文仿宋" w:eastAsia="华文仿宋" w:cs="华文仿宋"/>
          <w:sz w:val="30"/>
          <w:szCs w:val="30"/>
          <w:lang w:eastAsia="zh-CN"/>
        </w:rPr>
        <w:t>，</w:t>
      </w:r>
      <w:r>
        <w:rPr>
          <w:rFonts w:hint="eastAsia" w:ascii="FangSong_GB2312" w:hAnsi="FangSong_GB2312" w:eastAsia="FangSong_GB2312" w:cs="FangSong_GB2312"/>
          <w:color w:val="000000" w:themeColor="text1"/>
          <w:sz w:val="30"/>
          <w:szCs w:val="30"/>
          <w:lang w:eastAsia="zh-CN"/>
        </w:rPr>
        <w:t>开展“建州70周年”药品监管领域集中整治”“2023年药品经营和使用环节专项检查”等</w:t>
      </w:r>
      <w:r>
        <w:rPr>
          <w:rFonts w:hint="eastAsia" w:ascii="FangSong_GB2312" w:hAnsi="FangSong_GB2312" w:eastAsia="FangSong_GB2312" w:cs="FangSong_GB2312"/>
          <w:color w:val="000000" w:themeColor="text1"/>
          <w:sz w:val="30"/>
          <w:szCs w:val="30"/>
          <w:lang w:val="en-US" w:eastAsia="zh-CN"/>
        </w:rPr>
        <w:t>8项</w:t>
      </w:r>
      <w:r>
        <w:rPr>
          <w:rFonts w:hint="eastAsia" w:ascii="FangSong_GB2312" w:hAnsi="FangSong_GB2312" w:eastAsia="FangSong_GB2312" w:cs="FangSong_GB2312"/>
          <w:color w:val="000000" w:themeColor="text1"/>
          <w:sz w:val="30"/>
          <w:szCs w:val="30"/>
          <w:lang w:eastAsia="zh-CN"/>
        </w:rPr>
        <w:t>专项整治行动工作。紧盯药品购销渠道、冷链管理等风险点，严厉查处制售假药劣药、非法渠道购进药品、网络非法销售药品等违法行为。聚焦重点品种、重点企业（单位）和重点环节，梳理排查风险隐患，及时发现并消除苗头性、倾向性问题。对化妆品经营企业加大日常监督检查力度，严厉打击违法违规行为，保障公众用妆安全。</w:t>
      </w:r>
      <w:r>
        <w:rPr>
          <w:rFonts w:hint="eastAsia" w:ascii="FangSong_GB2312" w:hAnsi="FangSong_GB2312" w:eastAsia="FangSong_GB2312" w:cs="FangSong_GB2312"/>
          <w:color w:val="000000" w:themeColor="text1"/>
          <w:sz w:val="30"/>
          <w:szCs w:val="30"/>
          <w:lang w:val="en-US" w:eastAsia="zh-CN"/>
        </w:rPr>
        <w:t>截至</w:t>
      </w:r>
      <w:bookmarkStart w:id="0" w:name="_GoBack"/>
      <w:bookmarkEnd w:id="0"/>
      <w:r>
        <w:rPr>
          <w:rFonts w:hint="eastAsia" w:ascii="FangSong_GB2312" w:hAnsi="FangSong_GB2312" w:eastAsia="FangSong_GB2312" w:cs="FangSong_GB2312"/>
          <w:color w:val="000000" w:themeColor="text1"/>
          <w:sz w:val="30"/>
          <w:szCs w:val="30"/>
          <w:lang w:val="en-US" w:eastAsia="zh-CN"/>
        </w:rPr>
        <w:t>12月底，</w:t>
      </w:r>
      <w:r>
        <w:rPr>
          <w:rFonts w:hint="eastAsia" w:ascii="FangSong_GB2312" w:hAnsi="FangSong_GB2312" w:eastAsia="FangSong_GB2312" w:cs="FangSong_GB2312"/>
          <w:color w:val="000000" w:themeColor="text1"/>
          <w:sz w:val="30"/>
          <w:szCs w:val="30"/>
          <w:lang w:eastAsia="zh-CN"/>
        </w:rPr>
        <w:t>累计检查药店7家、诊所4家、县级医疗机构4家、乡镇卫生院16家、化妆品经营使用单位48家次，覆盖率均达100%。查处医疗器械案件</w:t>
      </w:r>
      <w:r>
        <w:rPr>
          <w:rFonts w:hint="eastAsia" w:ascii="FangSong_GB2312" w:hAnsi="FangSong_GB2312" w:eastAsia="FangSong_GB2312" w:cs="FangSong_GB2312"/>
          <w:color w:val="000000" w:themeColor="text1"/>
          <w:sz w:val="30"/>
          <w:szCs w:val="30"/>
          <w:lang w:val="en-US" w:eastAsia="zh-CN"/>
        </w:rPr>
        <w:t>3</w:t>
      </w:r>
      <w:r>
        <w:rPr>
          <w:rFonts w:hint="eastAsia" w:ascii="FangSong_GB2312" w:hAnsi="FangSong_GB2312" w:eastAsia="FangSong_GB2312" w:cs="FangSong_GB2312"/>
          <w:color w:val="000000" w:themeColor="text1"/>
          <w:sz w:val="30"/>
          <w:szCs w:val="30"/>
          <w:lang w:eastAsia="zh-CN"/>
        </w:rPr>
        <w:t>件，罚款1</w:t>
      </w:r>
      <w:r>
        <w:rPr>
          <w:rFonts w:hint="eastAsia" w:ascii="FangSong_GB2312" w:hAnsi="FangSong_GB2312" w:eastAsia="FangSong_GB2312" w:cs="FangSong_GB2312"/>
          <w:color w:val="000000" w:themeColor="text1"/>
          <w:sz w:val="30"/>
          <w:szCs w:val="30"/>
          <w:lang w:val="en-US" w:eastAsia="zh-CN"/>
        </w:rPr>
        <w:t>.6</w:t>
      </w:r>
      <w:r>
        <w:rPr>
          <w:rFonts w:hint="eastAsia" w:ascii="FangSong_GB2312" w:hAnsi="FangSong_GB2312" w:eastAsia="FangSong_GB2312" w:cs="FangSong_GB2312"/>
          <w:color w:val="000000" w:themeColor="text1"/>
          <w:sz w:val="30"/>
          <w:szCs w:val="30"/>
          <w:lang w:eastAsia="zh-CN"/>
        </w:rPr>
        <w:t>万元，化妆品案件2件，罚款0.7万元。</w:t>
      </w:r>
      <w:r>
        <w:rPr>
          <w:rFonts w:hint="eastAsia" w:ascii="FangSong_GB2312" w:hAnsi="FangSong_GB2312" w:eastAsia="FangSong_GB2312" w:cs="FangSong_GB2312"/>
          <w:color w:val="000000" w:themeColor="text1"/>
          <w:sz w:val="30"/>
          <w:szCs w:val="30"/>
          <w:lang w:val="en-US" w:eastAsia="zh-CN"/>
        </w:rPr>
        <w:t>大力普及药品安全法律法规知识，逐步营造人人关心、维护药品安全的良好氛围，</w:t>
      </w:r>
      <w:r>
        <w:rPr>
          <w:rFonts w:hint="eastAsia" w:ascii="FangSong_GB2312" w:hAnsi="FangSong_GB2312" w:eastAsia="FangSong_GB2312" w:cs="FangSong_GB2312"/>
          <w:color w:val="000000" w:themeColor="text1"/>
          <w:kern w:val="0"/>
          <w:sz w:val="30"/>
          <w:szCs w:val="30"/>
          <w:lang w:val="en-US" w:eastAsia="zh-CN" w:bidi="ar"/>
        </w:rPr>
        <w:t>加强主体责任意识和广大群众的自我保护，</w:t>
      </w:r>
      <w:r>
        <w:rPr>
          <w:rFonts w:hint="eastAsia" w:ascii="仿宋_GB2312" w:hAnsi="仿宋_GB2312" w:eastAsia="仿宋_GB2312" w:cs="仿宋_GB2312"/>
          <w:sz w:val="30"/>
          <w:szCs w:val="30"/>
          <w:lang w:val="en-US" w:eastAsia="zh-CN"/>
        </w:rPr>
        <w:t>敦促商户合法经营，确保市场秩序平稳。</w:t>
      </w:r>
    </w:p>
    <w:p>
      <w:pPr>
        <w:numPr>
          <w:ilvl w:val="0"/>
          <w:numId w:val="1"/>
        </w:numPr>
        <w:spacing w:line="580" w:lineRule="exact"/>
        <w:ind w:firstLine="640" w:firstLineChars="2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sz w:val="32"/>
          <w:szCs w:val="32"/>
        </w:rPr>
        <w:t>存在主要问题</w:t>
      </w:r>
    </w:p>
    <w:p>
      <w:pPr>
        <w:numPr>
          <w:ilvl w:val="0"/>
          <w:numId w:val="0"/>
        </w:numPr>
        <w:spacing w:line="580" w:lineRule="exact"/>
        <w:ind w:firstLine="1920" w:firstLineChars="6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四、相关措施建议</w:t>
      </w:r>
    </w:p>
    <w:p>
      <w:pPr>
        <w:spacing w:line="580" w:lineRule="exact"/>
        <w:ind w:firstLine="1920" w:firstLineChars="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5F6F5"/>
    <w:multiLevelType w:val="singleLevel"/>
    <w:tmpl w:val="B8B5F6F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yZDA4NDRhNTlhYjEzMDkwNWNhMzc0MTdhYzdmNzQifQ=="/>
  </w:docVars>
  <w:rsids>
    <w:rsidRoot w:val="004C22EC"/>
    <w:rsid w:val="004C22EC"/>
    <w:rsid w:val="007268F4"/>
    <w:rsid w:val="007B38C6"/>
    <w:rsid w:val="01527EDF"/>
    <w:rsid w:val="06D7510F"/>
    <w:rsid w:val="0AA3007B"/>
    <w:rsid w:val="0BE61950"/>
    <w:rsid w:val="0E0D07B0"/>
    <w:rsid w:val="100566B3"/>
    <w:rsid w:val="16631652"/>
    <w:rsid w:val="1A2C356C"/>
    <w:rsid w:val="1B4A3EC4"/>
    <w:rsid w:val="1D8E249F"/>
    <w:rsid w:val="238739AA"/>
    <w:rsid w:val="241F1A4B"/>
    <w:rsid w:val="244E01D1"/>
    <w:rsid w:val="252F3F10"/>
    <w:rsid w:val="27C135C1"/>
    <w:rsid w:val="2BBB31A5"/>
    <w:rsid w:val="2C5B55EB"/>
    <w:rsid w:val="301B756B"/>
    <w:rsid w:val="30AB577E"/>
    <w:rsid w:val="33DA011B"/>
    <w:rsid w:val="358B1B11"/>
    <w:rsid w:val="423607D0"/>
    <w:rsid w:val="42F56341"/>
    <w:rsid w:val="43370708"/>
    <w:rsid w:val="44BF1C4E"/>
    <w:rsid w:val="474433F3"/>
    <w:rsid w:val="4A0B0DD8"/>
    <w:rsid w:val="50715259"/>
    <w:rsid w:val="55704B34"/>
    <w:rsid w:val="55DE3B25"/>
    <w:rsid w:val="57B166CC"/>
    <w:rsid w:val="57BD0D84"/>
    <w:rsid w:val="591E6307"/>
    <w:rsid w:val="5BF907F8"/>
    <w:rsid w:val="5DBC40E7"/>
    <w:rsid w:val="678673E4"/>
    <w:rsid w:val="680B1697"/>
    <w:rsid w:val="68C87588"/>
    <w:rsid w:val="6A58493C"/>
    <w:rsid w:val="6C6E0447"/>
    <w:rsid w:val="6E276AFF"/>
    <w:rsid w:val="73E3171A"/>
    <w:rsid w:val="746C5BB4"/>
    <w:rsid w:val="7476433D"/>
    <w:rsid w:val="75145F0E"/>
    <w:rsid w:val="76E9529A"/>
    <w:rsid w:val="77991202"/>
    <w:rsid w:val="786170B2"/>
    <w:rsid w:val="7A8F43AA"/>
    <w:rsid w:val="7AF91839"/>
    <w:rsid w:val="7EBEE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4">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标题 1 Char"/>
    <w:basedOn w:val="8"/>
    <w:link w:val="3"/>
    <w:qFormat/>
    <w:uiPriority w:val="9"/>
    <w:rPr>
      <w:rFonts w:ascii="Times New Roman" w:hAnsi="Times New Roman" w:eastAsia="宋体" w:cs="Times New Roman"/>
      <w:b/>
      <w:bCs/>
      <w:kern w:val="44"/>
      <w:sz w:val="44"/>
      <w:szCs w:val="44"/>
    </w:rPr>
  </w:style>
  <w:style w:type="paragraph" w:customStyle="1" w:styleId="1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1217</Words>
  <Characters>1256</Characters>
  <Lines>2</Lines>
  <Paragraphs>1</Paragraphs>
  <TotalTime>0</TotalTime>
  <ScaleCrop>false</ScaleCrop>
  <LinksUpToDate>false</LinksUpToDate>
  <CharactersWithSpaces>1256</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2025-04-17T16:55:21Z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0F21F163815F4C3598FE48A84417370A_12</vt:lpwstr>
  </property>
</Properties>
</file>