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A71530">
      <w:pPr>
        <w:spacing w:line="600" w:lineRule="exact"/>
        <w:jc w:val="center"/>
        <w:outlineLvl w:val="0"/>
        <w:rPr>
          <w:rFonts w:hint="eastAsia" w:ascii="仿宋_GB2312" w:hAnsi="黑体" w:eastAsia="仿宋_GB2312" w:cs="方正小标宋简体"/>
          <w:b/>
          <w:sz w:val="44"/>
          <w:szCs w:val="44"/>
          <w:lang w:val="en-US" w:eastAsia="zh-CN"/>
        </w:rPr>
      </w:pPr>
      <w:bookmarkStart w:id="0" w:name="_Toc15396616"/>
      <w:r>
        <w:rPr>
          <w:rFonts w:hint="eastAsia" w:ascii="仿宋_GB2312" w:hAnsi="黑体" w:eastAsia="仿宋_GB2312" w:cs="方正小标宋简体"/>
          <w:b/>
          <w:sz w:val="44"/>
          <w:szCs w:val="44"/>
          <w:lang w:val="en-US" w:eastAsia="zh-CN"/>
        </w:rPr>
        <w:t>黑水县消委会管理服务中心</w:t>
      </w:r>
    </w:p>
    <w:p w14:paraId="35ED8098">
      <w:pPr>
        <w:spacing w:line="600" w:lineRule="exact"/>
        <w:jc w:val="center"/>
        <w:outlineLvl w:val="0"/>
        <w:rPr>
          <w:rFonts w:hint="eastAsia" w:ascii="仿宋_GB2312" w:hAnsi="黑体" w:eastAsia="仿宋_GB2312" w:cs="方正小标宋简体"/>
          <w:b/>
          <w:sz w:val="44"/>
          <w:szCs w:val="44"/>
          <w:lang w:val="en-US" w:eastAsia="zh-CN"/>
        </w:rPr>
      </w:pPr>
      <w:r>
        <w:rPr>
          <w:rFonts w:hint="eastAsia" w:ascii="仿宋_GB2312" w:hAnsi="黑体" w:eastAsia="仿宋_GB2312" w:cs="方正小标宋简体"/>
          <w:b/>
          <w:sz w:val="44"/>
          <w:szCs w:val="44"/>
          <w:lang w:val="en-US" w:eastAsia="zh-CN"/>
        </w:rPr>
        <w:t>2024年整体支出绩效评价报告</w:t>
      </w:r>
      <w:bookmarkEnd w:id="0"/>
    </w:p>
    <w:p w14:paraId="5C5EE5C2">
      <w:pPr>
        <w:spacing w:line="580" w:lineRule="exact"/>
        <w:ind w:firstLine="643" w:firstLineChars="200"/>
        <w:rPr>
          <w:rFonts w:ascii="仿宋_GB2312" w:hAnsi="黑体" w:eastAsia="仿宋_GB2312" w:cs="黑体"/>
          <w:b/>
          <w:sz w:val="32"/>
          <w:szCs w:val="32"/>
        </w:rPr>
      </w:pPr>
    </w:p>
    <w:p w14:paraId="4F507225"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一、部门（单位）概况</w:t>
      </w:r>
    </w:p>
    <w:p w14:paraId="3FF5CD52"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（一）机构组成。</w:t>
      </w:r>
    </w:p>
    <w:p w14:paraId="1A9AC528">
      <w:pPr>
        <w:spacing w:line="580" w:lineRule="exact"/>
        <w:ind w:firstLine="640" w:firstLineChars="200"/>
      </w:pP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  <w:t>黑水县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  <w:t>市场监督管理局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  <w:t>属于一级预算单位。其中：行政单位1个，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  <w:lang w:val="en-US" w:eastAsia="zh-CN"/>
        </w:rPr>
        <w:t>消委会管理中心</w:t>
      </w:r>
      <w:r>
        <w:rPr>
          <w:rFonts w:hint="eastAsia" w:ascii="仿宋" w:hAnsi="仿宋" w:eastAsia="仿宋" w:cs="仿宋"/>
          <w:color w:val="333333"/>
          <w:sz w:val="32"/>
          <w:szCs w:val="32"/>
          <w:shd w:val="clear" w:color="auto" w:fill="FFFFFF"/>
        </w:rPr>
        <w:t>1个。</w:t>
      </w:r>
    </w:p>
    <w:p w14:paraId="14982A9D">
      <w:pPr>
        <w:numPr>
          <w:ilvl w:val="0"/>
          <w:numId w:val="1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机构职能。</w:t>
      </w:r>
    </w:p>
    <w:p w14:paraId="02AC7BC2">
      <w:pPr>
        <w:numPr>
          <w:ilvl w:val="0"/>
          <w:numId w:val="0"/>
        </w:numPr>
        <w:spacing w:line="580" w:lineRule="exact"/>
        <w:ind w:firstLine="640" w:firstLineChars="200"/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主要职能是：负责全县市场综合监督管理、市场主体统一登记注册，组织全县市场监督管理综合执法，反垄断、管理市场秩序、质量、安全、食品、特种设备、药品、知识产权等工作。紧紧围绕县委、县政府中心工作，充分发挥市场监管职能，保障消费者合法权益, 全力助推我县经济发展。</w:t>
      </w:r>
    </w:p>
    <w:p w14:paraId="3AC8187B">
      <w:pPr>
        <w:numPr>
          <w:ilvl w:val="0"/>
          <w:numId w:val="1"/>
        </w:numPr>
        <w:spacing w:line="580" w:lineRule="exact"/>
        <w:ind w:left="0" w:leftChars="0"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人员概况。</w:t>
      </w:r>
    </w:p>
    <w:p w14:paraId="19ABB0B8"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本单位本年度年末实有人数为5人，与上年持平。</w:t>
      </w:r>
    </w:p>
    <w:p w14:paraId="05FACC35"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二、部门财政资金收支情况</w:t>
      </w:r>
    </w:p>
    <w:p w14:paraId="7D3F71AA"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（一）部门财政资金收入情况。</w:t>
      </w:r>
    </w:p>
    <w:p w14:paraId="6B20DD32">
      <w:pPr>
        <w:pStyle w:val="5"/>
        <w:shd w:val="clear" w:color="auto" w:fill="FFFFFF"/>
        <w:ind w:firstLine="640" w:firstLineChars="200"/>
      </w:pPr>
      <w:r>
        <w:rPr>
          <w:rFonts w:hint="eastAsia" w:ascii="仿宋_GB2312" w:hAnsi="黑体" w:eastAsia="仿宋_GB2312" w:cs="黑体"/>
          <w:kern w:val="2"/>
          <w:sz w:val="32"/>
          <w:szCs w:val="32"/>
          <w:lang w:val="en-US" w:eastAsia="zh-CN" w:bidi="ar-SA"/>
        </w:rPr>
        <w:t>本单位本年度总收入为101.4万元。其中：一般公共预算财政拨款收入为101.4万元，占比100%；政府性基金预算财政拨款收入为0万元，占比0%。</w:t>
      </w:r>
    </w:p>
    <w:p w14:paraId="1DDA2E06">
      <w:pPr>
        <w:numPr>
          <w:ilvl w:val="0"/>
          <w:numId w:val="2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部门财政资金支出情况。</w:t>
      </w:r>
    </w:p>
    <w:p w14:paraId="0E408329">
      <w:pPr>
        <w:pStyle w:val="5"/>
        <w:shd w:val="clear" w:color="auto" w:fill="FFFFFF"/>
        <w:ind w:firstLine="640" w:firstLineChars="200"/>
        <w:rPr>
          <w:rFonts w:hint="eastAsia" w:ascii="仿宋_GB2312" w:hAnsi="黑体" w:eastAsia="仿宋_GB2312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黑体"/>
          <w:kern w:val="2"/>
          <w:sz w:val="32"/>
          <w:szCs w:val="32"/>
          <w:lang w:val="en-US" w:eastAsia="zh-CN" w:bidi="ar-SA"/>
        </w:rPr>
        <w:t>本年支出总额101.4万元。按支出性质：基本支出101.4万元，占本年支出100%；项目支出0万元，占本年支出0%。按支出经济分类：工资福利支出91.9万元，占总支出的</w:t>
      </w:r>
      <w:r>
        <w:rPr>
          <w:rFonts w:hint="eastAsia" w:ascii="仿宋_GB2312" w:hAnsi="黑体" w:eastAsia="仿宋_GB2312" w:cs="黑体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90.63%;商品和服务支出9.5万元, 占总支出的9.3%;对个</w:t>
      </w:r>
      <w:r>
        <w:rPr>
          <w:rFonts w:hint="eastAsia" w:ascii="仿宋_GB2312" w:hAnsi="黑体" w:eastAsia="仿宋_GB2312" w:cs="黑体"/>
          <w:kern w:val="2"/>
          <w:sz w:val="32"/>
          <w:szCs w:val="32"/>
          <w:lang w:val="en-US" w:eastAsia="zh-CN" w:bidi="ar-SA"/>
        </w:rPr>
        <w:t>人和家庭的补助支出0万元, 占总支出的0%;资本性支出0万元, 占总支出的0%。</w:t>
      </w:r>
    </w:p>
    <w:p w14:paraId="6EE42D17">
      <w:pPr>
        <w:spacing w:line="560" w:lineRule="exact"/>
        <w:ind w:firstLine="640" w:firstLineChars="200"/>
        <w:rPr>
          <w:rFonts w:hint="eastAsia" w:ascii="仿宋_GB2312" w:hAnsi="黑体" w:eastAsia="仿宋_GB2312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黑体"/>
          <w:kern w:val="2"/>
          <w:sz w:val="32"/>
          <w:szCs w:val="32"/>
          <w:lang w:val="en-US" w:eastAsia="zh-CN" w:bidi="ar-SA"/>
        </w:rPr>
        <w:t>（1）、基本支出</w:t>
      </w:r>
    </w:p>
    <w:p w14:paraId="43361C40">
      <w:pPr>
        <w:snapToGrid w:val="0"/>
        <w:spacing w:line="520" w:lineRule="exact"/>
        <w:ind w:firstLine="640" w:firstLineChars="200"/>
        <w:rPr>
          <w:rFonts w:hint="eastAsia" w:ascii="仿宋_GB2312" w:hAnsi="黑体" w:eastAsia="仿宋_GB2312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黑体"/>
          <w:kern w:val="2"/>
          <w:sz w:val="32"/>
          <w:szCs w:val="32"/>
          <w:lang w:val="en-US" w:eastAsia="zh-CN" w:bidi="ar-SA"/>
        </w:rPr>
        <w:t>本年度基本支出101.4万元。其中：工资福利支出91.9万元，占总支出的</w:t>
      </w:r>
      <w:r>
        <w:rPr>
          <w:rFonts w:hint="eastAsia" w:ascii="仿宋_GB2312" w:hAnsi="黑体" w:eastAsia="仿宋_GB2312" w:cs="黑体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90.63%;商品和服务支出9.5万元, 占总支出的9.3%;对个人和</w:t>
      </w:r>
      <w:r>
        <w:rPr>
          <w:rFonts w:hint="eastAsia" w:ascii="仿宋_GB2312" w:hAnsi="黑体" w:eastAsia="仿宋_GB2312" w:cs="黑体"/>
          <w:kern w:val="2"/>
          <w:sz w:val="32"/>
          <w:szCs w:val="32"/>
          <w:lang w:val="en-US" w:eastAsia="zh-CN" w:bidi="ar-SA"/>
        </w:rPr>
        <w:t>家庭的补助支出0万元, 占总支出的0%。</w:t>
      </w:r>
    </w:p>
    <w:p w14:paraId="26E213E0">
      <w:pPr>
        <w:snapToGrid w:val="0"/>
        <w:spacing w:line="520" w:lineRule="exact"/>
        <w:ind w:firstLine="640" w:firstLineChars="200"/>
        <w:rPr>
          <w:rFonts w:hint="eastAsia" w:ascii="仿宋_GB2312" w:hAnsi="黑体" w:eastAsia="仿宋_GB2312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黑体"/>
          <w:kern w:val="2"/>
          <w:sz w:val="32"/>
          <w:szCs w:val="32"/>
          <w:lang w:val="en-US" w:eastAsia="zh-CN" w:bidi="ar-SA"/>
        </w:rPr>
        <w:t>（2）、项目支出</w:t>
      </w:r>
    </w:p>
    <w:p w14:paraId="7F8CF241">
      <w:pPr>
        <w:spacing w:line="560" w:lineRule="exact"/>
        <w:ind w:firstLine="800" w:firstLineChars="250"/>
        <w:rPr>
          <w:rFonts w:hint="eastAsia" w:ascii="仿宋_GB2312" w:hAnsi="黑体" w:eastAsia="仿宋_GB2312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黑体"/>
          <w:kern w:val="2"/>
          <w:sz w:val="32"/>
          <w:szCs w:val="32"/>
          <w:lang w:val="en-US" w:eastAsia="zh-CN" w:bidi="ar-SA"/>
        </w:rPr>
        <w:t>项目支出0万元，其中：商品和服务支出0万元, 占总支出的0%；资本性支出0万元, 占总支出的0%。</w:t>
      </w:r>
    </w:p>
    <w:p w14:paraId="3C76993D">
      <w:pPr>
        <w:numPr>
          <w:ilvl w:val="0"/>
          <w:numId w:val="3"/>
        </w:numPr>
        <w:spacing w:line="580" w:lineRule="exact"/>
        <w:ind w:firstLine="640" w:firstLineChars="200"/>
        <w:rPr>
          <w:rFonts w:hint="eastAsia"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部门整体预算绩效管理情况</w:t>
      </w:r>
    </w:p>
    <w:p w14:paraId="50EFE2B4">
      <w:pPr>
        <w:numPr>
          <w:ilvl w:val="0"/>
          <w:numId w:val="0"/>
        </w:num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（一）部门预算管理。</w:t>
      </w:r>
    </w:p>
    <w:p w14:paraId="5C2D5B28">
      <w:pPr>
        <w:spacing w:line="560" w:lineRule="exact"/>
        <w:ind w:firstLine="800" w:firstLineChars="250"/>
        <w:rPr>
          <w:rFonts w:hint="eastAsia" w:ascii="仿宋_GB2312" w:hAnsi="黑体" w:eastAsia="仿宋_GB2312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黑体"/>
          <w:kern w:val="2"/>
          <w:sz w:val="32"/>
          <w:szCs w:val="32"/>
          <w:lang w:val="en-US" w:eastAsia="zh-CN" w:bidi="ar-SA"/>
        </w:rPr>
        <w:t>本单位本年度收入调整预算数为101.4万元，收入决算数为101.4万元，预算完成度为100.00%，上年度预算完成度为100.00%。 本年度支出调整预算数为101.4万元，支出决算数为101.4万元，预算完成度为100.00%，上年度预算完成度为100%。按时完成预算编制并提交单位预算草案，在预算编制中，特别注意了对预算编制准确性的把握，并严格按照要求进行预算执行调整。</w:t>
      </w:r>
    </w:p>
    <w:p w14:paraId="27B3C83B"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（二）专项预算管理。</w:t>
      </w:r>
    </w:p>
    <w:p w14:paraId="5FC8FFC2">
      <w:pPr>
        <w:spacing w:line="580" w:lineRule="exact"/>
        <w:ind w:firstLine="640" w:firstLineChars="200"/>
        <w:rPr>
          <w:rFonts w:hint="default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无专项预算项目</w:t>
      </w:r>
    </w:p>
    <w:p w14:paraId="1F404C08"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（三）结果应用情况。</w:t>
      </w:r>
    </w:p>
    <w:p w14:paraId="004CBC76">
      <w:pPr>
        <w:pStyle w:val="5"/>
        <w:shd w:val="clear" w:color="auto" w:fill="FFFFFF"/>
        <w:spacing w:line="56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黑体" w:eastAsia="仿宋_GB2312" w:cs="黑体"/>
          <w:kern w:val="2"/>
          <w:sz w:val="32"/>
          <w:szCs w:val="32"/>
          <w:lang w:val="en-US" w:eastAsia="zh-CN" w:bidi="ar-SA"/>
        </w:rPr>
        <w:t>本单位在执行公务过程中严格执行“厉行节约、反对浪费”的规定，严格控制“三公”经费支出，加强公务用车管理，部门预算在财政部门批复后及时填报预算公开资料，经财政审核后在政府信息公开网上公示。</w:t>
      </w:r>
    </w:p>
    <w:p w14:paraId="13204801">
      <w:pPr>
        <w:spacing w:line="580" w:lineRule="exact"/>
        <w:ind w:firstLine="640" w:firstLineChars="200"/>
        <w:rPr>
          <w:rFonts w:ascii="仿宋_GB2312" w:hAnsi="黑体" w:eastAsia="仿宋_GB2312" w:cs="黑体"/>
          <w:sz w:val="32"/>
          <w:szCs w:val="32"/>
        </w:rPr>
      </w:pPr>
      <w:r>
        <w:rPr>
          <w:rFonts w:hint="eastAsia" w:ascii="仿宋_GB2312" w:hAnsi="黑体" w:eastAsia="仿宋_GB2312" w:cs="黑体"/>
          <w:sz w:val="32"/>
          <w:szCs w:val="32"/>
        </w:rPr>
        <w:t>四、评价结论及建议</w:t>
      </w:r>
    </w:p>
    <w:p w14:paraId="07DE1B35"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（一）评价结论。</w:t>
      </w:r>
    </w:p>
    <w:p w14:paraId="0B07A5BE">
      <w:pPr>
        <w:pStyle w:val="5"/>
        <w:spacing w:beforeAutospacing="0" w:afterAutospacing="0" w:line="560" w:lineRule="exact"/>
        <w:ind w:firstLine="640" w:firstLineChars="200"/>
      </w:pPr>
      <w:r>
        <w:rPr>
          <w:rFonts w:hint="eastAsia" w:ascii="仿宋_GB2312" w:hAnsi="黑体" w:eastAsia="仿宋_GB2312" w:cs="黑体"/>
          <w:kern w:val="2"/>
          <w:sz w:val="32"/>
          <w:szCs w:val="32"/>
          <w:lang w:val="en-US" w:eastAsia="zh-CN" w:bidi="ar-SA"/>
        </w:rPr>
        <w:t>2024年整体绩效评价得分93.9分，本年度财政拨款为本单位工作的开展提供了有力的保障，</w:t>
      </w:r>
      <w:bookmarkStart w:id="1" w:name="_GoBack"/>
      <w:bookmarkEnd w:id="1"/>
      <w:r>
        <w:rPr>
          <w:rFonts w:hint="eastAsia" w:ascii="仿宋_GB2312" w:hAnsi="黑体" w:eastAsia="仿宋_GB2312" w:cs="黑体"/>
          <w:kern w:val="2"/>
          <w:sz w:val="32"/>
          <w:szCs w:val="32"/>
          <w:lang w:val="en-US" w:eastAsia="zh-CN" w:bidi="ar-SA"/>
        </w:rPr>
        <w:t>拟定并组织实施市场监督管理事业发展规划和技术机构建设规划。组织推进质量发展工作；组织实施商标品牌战略；参与制定商品交易市场发展规划。负责涉及工商、质量技术、食品药品监督管理的各类汇总审批和汇总许可并实施监督管理。负责查处违反工商、质量技术、食品药品监督管理的各类法律、法规、规章的行为。</w:t>
      </w:r>
    </w:p>
    <w:p w14:paraId="0B11BB6B">
      <w:pPr>
        <w:numPr>
          <w:ilvl w:val="0"/>
          <w:numId w:val="2"/>
        </w:numPr>
        <w:spacing w:line="580" w:lineRule="exact"/>
        <w:ind w:left="0" w:leftChars="0"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存在问题。</w:t>
      </w:r>
    </w:p>
    <w:p w14:paraId="4FC984F0">
      <w:pPr>
        <w:pStyle w:val="2"/>
        <w:numPr>
          <w:ilvl w:val="0"/>
          <w:numId w:val="0"/>
        </w:numPr>
        <w:ind w:leftChars="200" w:firstLine="640" w:firstLineChars="200"/>
      </w:pP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  <w:t>无</w:t>
      </w:r>
    </w:p>
    <w:p w14:paraId="4D9A325A"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（三）改进建议。</w:t>
      </w:r>
    </w:p>
    <w:p w14:paraId="0B4BCD47">
      <w:pPr>
        <w:pStyle w:val="2"/>
        <w:numPr>
          <w:ilvl w:val="0"/>
          <w:numId w:val="0"/>
        </w:numPr>
        <w:ind w:leftChars="200" w:firstLine="640" w:firstLineChars="200"/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_GB2312"/>
          <w:kern w:val="2"/>
          <w:sz w:val="32"/>
          <w:szCs w:val="32"/>
          <w:lang w:val="en-US" w:eastAsia="zh-CN" w:bidi="ar-SA"/>
        </w:rPr>
        <w:t>无</w:t>
      </w:r>
    </w:p>
    <w:p w14:paraId="44895005">
      <w:pPr>
        <w:widowControl/>
        <w:jc w:val="left"/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594971"/>
    <w:multiLevelType w:val="singleLevel"/>
    <w:tmpl w:val="A9594971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1A7C0BDC"/>
    <w:multiLevelType w:val="singleLevel"/>
    <w:tmpl w:val="1A7C0BDC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5510CEE3"/>
    <w:multiLevelType w:val="singleLevel"/>
    <w:tmpl w:val="5510CEE3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491B22"/>
    <w:rsid w:val="00291808"/>
    <w:rsid w:val="00491B22"/>
    <w:rsid w:val="0052390C"/>
    <w:rsid w:val="03CF61A2"/>
    <w:rsid w:val="05C41747"/>
    <w:rsid w:val="08857578"/>
    <w:rsid w:val="08A42E23"/>
    <w:rsid w:val="096F5AD2"/>
    <w:rsid w:val="0AAF0C6D"/>
    <w:rsid w:val="120B3EBE"/>
    <w:rsid w:val="18FF22A3"/>
    <w:rsid w:val="1AB3453C"/>
    <w:rsid w:val="1D90271B"/>
    <w:rsid w:val="20564E9E"/>
    <w:rsid w:val="21AF0D0A"/>
    <w:rsid w:val="22F664C5"/>
    <w:rsid w:val="259A3A7F"/>
    <w:rsid w:val="271B299E"/>
    <w:rsid w:val="28643ED1"/>
    <w:rsid w:val="2AA35E8D"/>
    <w:rsid w:val="2AF2693B"/>
    <w:rsid w:val="31D15F92"/>
    <w:rsid w:val="33320064"/>
    <w:rsid w:val="336D632F"/>
    <w:rsid w:val="34EB1F43"/>
    <w:rsid w:val="35C53A96"/>
    <w:rsid w:val="362C24D2"/>
    <w:rsid w:val="36435EC2"/>
    <w:rsid w:val="380740F2"/>
    <w:rsid w:val="394E76F8"/>
    <w:rsid w:val="3AB40CE8"/>
    <w:rsid w:val="400904FB"/>
    <w:rsid w:val="43EB7E23"/>
    <w:rsid w:val="4441126A"/>
    <w:rsid w:val="47CF3B52"/>
    <w:rsid w:val="47E33174"/>
    <w:rsid w:val="4901159C"/>
    <w:rsid w:val="4A9621B8"/>
    <w:rsid w:val="4C866AA3"/>
    <w:rsid w:val="4DD97D2F"/>
    <w:rsid w:val="4EA053B3"/>
    <w:rsid w:val="52BE22AC"/>
    <w:rsid w:val="52C375F2"/>
    <w:rsid w:val="542543BE"/>
    <w:rsid w:val="550D01C3"/>
    <w:rsid w:val="5A364E1D"/>
    <w:rsid w:val="5C7D6D34"/>
    <w:rsid w:val="5CD84AA3"/>
    <w:rsid w:val="5D3F048D"/>
    <w:rsid w:val="5EDF7832"/>
    <w:rsid w:val="602B0FCD"/>
    <w:rsid w:val="60C628A3"/>
    <w:rsid w:val="60D032A5"/>
    <w:rsid w:val="61E735F4"/>
    <w:rsid w:val="634265E1"/>
    <w:rsid w:val="66E6284F"/>
    <w:rsid w:val="69D51F79"/>
    <w:rsid w:val="6C8163CC"/>
    <w:rsid w:val="6D571F35"/>
    <w:rsid w:val="6E3B25AB"/>
    <w:rsid w:val="6E8C2E06"/>
    <w:rsid w:val="6F6A3147"/>
    <w:rsid w:val="71BB5EDC"/>
    <w:rsid w:val="72571E77"/>
    <w:rsid w:val="77611954"/>
    <w:rsid w:val="77F24622"/>
    <w:rsid w:val="798B088A"/>
    <w:rsid w:val="79D2019E"/>
    <w:rsid w:val="7A7B08FF"/>
    <w:rsid w:val="7C192F83"/>
    <w:rsid w:val="7E882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qFormat="1" w:unhideWhenUsed="0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qFormat/>
    <w:uiPriority w:val="0"/>
    <w:pPr>
      <w:spacing w:before="100" w:beforeAutospacing="1" w:after="100" w:afterAutospacing="1"/>
      <w:ind w:left="200" w:leftChars="200" w:hanging="200" w:hangingChars="200"/>
    </w:pPr>
    <w:rPr>
      <w:kern w:val="0"/>
      <w:sz w:val="20"/>
      <w:szCs w:val="21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3</Pages>
  <Words>1099</Words>
  <Characters>1209</Characters>
  <Lines>2</Lines>
  <Paragraphs>1</Paragraphs>
  <TotalTime>29</TotalTime>
  <ScaleCrop>false</ScaleCrop>
  <LinksUpToDate>false</LinksUpToDate>
  <CharactersWithSpaces>1218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1:1</cp:lastModifiedBy>
  <dcterms:modified xsi:type="dcterms:W3CDTF">2025-09-01T09:18:10Z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3115989309D741DA945EE44A488D69E1</vt:lpwstr>
  </property>
  <property fmtid="{D5CDD505-2E9C-101B-9397-08002B2CF9AE}" pid="4" name="KSOTemplateDocerSaveRecord">
    <vt:lpwstr>eyJoZGlkIjoiNzJlNTE0NmVhNzgwOTU3ZjViYmFjNmNhMDU2NjZhZjUiLCJ1c2VySWQiOiI1OTE0OTIzOTUifQ==</vt:lpwstr>
  </property>
</Properties>
</file>